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outlineLvl w:val="0"/>
        <w:rPr>
          <w:rFonts w:hint="default"/>
          <w:b/>
          <w:bCs/>
          <w:sz w:val="28"/>
          <w:szCs w:val="24"/>
          <w:lang w:val="en-US" w:eastAsia="zh-CN"/>
        </w:rPr>
      </w:pPr>
      <w:r>
        <w:rPr>
          <w:rFonts w:eastAsia="Batang"/>
          <w:b/>
          <w:bCs/>
          <w:sz w:val="28"/>
          <w:szCs w:val="24"/>
          <w:lang w:eastAsia="en-US"/>
        </w:rPr>
        <w:t>3GPP TSG RAN WG1 #1</w:t>
      </w:r>
      <w:r>
        <w:rPr>
          <w:rFonts w:eastAsia="Batang"/>
          <w:b/>
          <w:bCs/>
          <w:sz w:val="28"/>
          <w:szCs w:val="24"/>
          <w:lang w:val="en-US" w:eastAsia="en-US"/>
        </w:rPr>
        <w:t>10</w:t>
      </w:r>
      <w:r>
        <w:rPr>
          <w:rFonts w:eastAsia="Batang"/>
          <w:b/>
          <w:bCs/>
          <w:sz w:val="28"/>
          <w:szCs w:val="24"/>
          <w:lang w:eastAsia="en-US"/>
        </w:rPr>
        <w:tab/>
      </w:r>
      <w:r>
        <w:rPr>
          <w:rFonts w:eastAsia="Batang"/>
          <w:b/>
          <w:bCs/>
          <w:sz w:val="28"/>
          <w:szCs w:val="24"/>
          <w:lang w:eastAsia="en-US"/>
        </w:rPr>
        <w:tab/>
      </w:r>
      <w:r>
        <w:rPr>
          <w:rFonts w:eastAsia="Batang"/>
          <w:b/>
          <w:bCs/>
          <w:sz w:val="28"/>
          <w:szCs w:val="24"/>
          <w:lang w:eastAsia="en-US"/>
        </w:rPr>
        <w:tab/>
      </w:r>
      <w:r>
        <w:rPr>
          <w:rFonts w:eastAsia="Batang"/>
          <w:b/>
          <w:bCs/>
          <w:sz w:val="28"/>
          <w:szCs w:val="24"/>
          <w:lang w:eastAsia="en-US"/>
        </w:rPr>
        <w:t xml:space="preserve">                      </w:t>
      </w:r>
      <w:r>
        <w:rPr>
          <w:rFonts w:hint="eastAsia"/>
          <w:b/>
          <w:bCs/>
          <w:sz w:val="28"/>
          <w:szCs w:val="24"/>
          <w:lang w:val="en-US" w:eastAsia="zh-CN"/>
        </w:rPr>
        <w:t xml:space="preserve">   </w:t>
      </w:r>
      <w:r>
        <w:rPr>
          <w:rFonts w:hint="default"/>
          <w:b/>
          <w:bCs/>
          <w:sz w:val="28"/>
          <w:szCs w:val="24"/>
          <w:lang w:val="en-US" w:eastAsia="zh-CN"/>
        </w:rPr>
        <w:t xml:space="preserve">  </w:t>
      </w:r>
      <w:r>
        <w:rPr>
          <w:rFonts w:hint="eastAsia"/>
          <w:b/>
          <w:bCs/>
          <w:sz w:val="28"/>
          <w:szCs w:val="24"/>
          <w:lang w:val="en-US" w:eastAsia="zh-CN"/>
        </w:rPr>
        <w:t xml:space="preserve"> </w:t>
      </w:r>
      <w:r>
        <w:rPr>
          <w:rFonts w:eastAsia="Batang"/>
          <w:b/>
          <w:bCs/>
          <w:sz w:val="28"/>
          <w:szCs w:val="24"/>
          <w:lang w:eastAsia="en-US"/>
        </w:rPr>
        <w:t>R1-2</w:t>
      </w:r>
      <w:r>
        <w:rPr>
          <w:rFonts w:eastAsia="Batang"/>
          <w:b/>
          <w:bCs/>
          <w:sz w:val="28"/>
          <w:szCs w:val="24"/>
          <w:lang w:val="en-US" w:eastAsia="en-US"/>
        </w:rPr>
        <w:t>20</w:t>
      </w:r>
      <w:r>
        <w:rPr>
          <w:rFonts w:hint="default" w:eastAsia="Batang"/>
          <w:b/>
          <w:bCs/>
          <w:sz w:val="28"/>
          <w:szCs w:val="24"/>
          <w:lang w:val="en-US" w:eastAsia="en-US"/>
        </w:rPr>
        <w:t>6930</w:t>
      </w:r>
    </w:p>
    <w:p>
      <w:pPr>
        <w:widowControl w:val="0"/>
        <w:spacing w:after="0"/>
        <w:jc w:val="both"/>
        <w:outlineLvl w:val="0"/>
        <w:rPr>
          <w:rFonts w:eastAsia="Batang"/>
          <w:b/>
          <w:bCs/>
          <w:sz w:val="28"/>
          <w:szCs w:val="24"/>
          <w:lang w:eastAsia="en-US"/>
        </w:rPr>
      </w:pPr>
      <w:r>
        <w:rPr>
          <w:rFonts w:hint="eastAsia" w:eastAsia="Batang"/>
          <w:b/>
          <w:bCs/>
          <w:sz w:val="28"/>
          <w:szCs w:val="24"/>
          <w:lang w:eastAsia="en-US"/>
        </w:rPr>
        <w:t>Toulouse, France</w:t>
      </w:r>
      <w:r>
        <w:rPr>
          <w:rFonts w:eastAsia="Batang"/>
          <w:b/>
          <w:bCs/>
          <w:sz w:val="28"/>
          <w:szCs w:val="24"/>
          <w:lang w:eastAsia="en-US"/>
        </w:rPr>
        <w:t xml:space="preserve">, </w:t>
      </w:r>
      <w:r>
        <w:rPr>
          <w:rFonts w:eastAsia="Batang"/>
          <w:b/>
          <w:bCs/>
          <w:sz w:val="28"/>
          <w:szCs w:val="24"/>
          <w:lang w:val="en-US"/>
        </w:rPr>
        <w:t>August</w:t>
      </w:r>
      <w:r>
        <w:rPr>
          <w:rFonts w:eastAsia="Batang"/>
          <w:b/>
          <w:bCs/>
          <w:sz w:val="28"/>
          <w:szCs w:val="24"/>
        </w:rPr>
        <w:t xml:space="preserve"> </w:t>
      </w:r>
      <w:r>
        <w:rPr>
          <w:rFonts w:eastAsia="Batang"/>
          <w:b/>
          <w:bCs/>
          <w:sz w:val="28"/>
          <w:szCs w:val="24"/>
          <w:lang w:val="en-US"/>
        </w:rPr>
        <w:t>22</w:t>
      </w:r>
      <w:r>
        <w:rPr>
          <w:rFonts w:eastAsia="Batang"/>
          <w:b/>
          <w:bCs/>
          <w:sz w:val="28"/>
          <w:szCs w:val="24"/>
          <w:vertAlign w:val="superscript"/>
          <w:lang w:val="en-US"/>
        </w:rPr>
        <w:t>nd</w:t>
      </w:r>
      <w:r>
        <w:rPr>
          <w:rFonts w:eastAsia="Batang"/>
          <w:b/>
          <w:bCs/>
          <w:sz w:val="28"/>
          <w:szCs w:val="24"/>
        </w:rPr>
        <w:t xml:space="preserve"> – 2</w:t>
      </w:r>
      <w:r>
        <w:rPr>
          <w:rFonts w:eastAsia="Batang"/>
          <w:b/>
          <w:bCs/>
          <w:sz w:val="28"/>
          <w:szCs w:val="24"/>
          <w:lang w:val="en-US"/>
        </w:rPr>
        <w:t>6</w:t>
      </w:r>
      <w:r>
        <w:rPr>
          <w:rFonts w:eastAsia="Batang"/>
          <w:b/>
          <w:bCs/>
          <w:sz w:val="28"/>
          <w:szCs w:val="24"/>
          <w:vertAlign w:val="superscript"/>
        </w:rPr>
        <w:t>th</w:t>
      </w:r>
      <w:r>
        <w:rPr>
          <w:rFonts w:eastAsia="Batang"/>
          <w:b/>
          <w:bCs/>
          <w:sz w:val="28"/>
          <w:szCs w:val="24"/>
        </w:rPr>
        <w:t>, 2022</w:t>
      </w:r>
    </w:p>
    <w:p>
      <w:pPr>
        <w:widowControl w:val="0"/>
        <w:spacing w:after="0"/>
        <w:jc w:val="both"/>
        <w:rPr>
          <w:sz w:val="24"/>
          <w:szCs w:val="24"/>
          <w:lang w:eastAsia="zh-CN"/>
        </w:rPr>
      </w:pPr>
    </w:p>
    <w:p>
      <w:pPr>
        <w:pStyle w:val="105"/>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5"/>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multi-carrier UL Tx switching scheme</w:t>
      </w:r>
    </w:p>
    <w:p>
      <w:pPr>
        <w:pStyle w:val="105"/>
        <w:spacing w:after="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eastAsia="zh-CN"/>
        </w:rPr>
        <w:t>9.10</w:t>
      </w:r>
      <w:r>
        <w:rPr>
          <w:rFonts w:ascii="Times New Roman" w:hAnsi="Times New Roman"/>
          <w:sz w:val="24"/>
          <w:szCs w:val="24"/>
          <w:lang w:eastAsia="zh-CN"/>
        </w:rPr>
        <w:t>.</w:t>
      </w:r>
      <w:r>
        <w:rPr>
          <w:rFonts w:ascii="Times New Roman" w:hAnsi="Times New Roman"/>
          <w:sz w:val="24"/>
          <w:szCs w:val="24"/>
          <w:lang w:val="en-US" w:eastAsia="zh-CN"/>
        </w:rPr>
        <w:t>2</w:t>
      </w:r>
    </w:p>
    <w:p>
      <w:pPr>
        <w:pStyle w:val="105"/>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5"/>
        </w:numPr>
        <w:rPr>
          <w:rFonts w:ascii="Times New Roman" w:hAnsi="Times New Roman"/>
        </w:rPr>
      </w:pPr>
      <w:bookmarkStart w:id="4" w:name="_Toc120549591"/>
      <w:r>
        <w:rPr>
          <w:rFonts w:ascii="Times New Roman" w:hAnsi="Times New Roman"/>
        </w:rPr>
        <w:t>Introduction</w:t>
      </w:r>
      <w:bookmarkEnd w:id="4"/>
    </w:p>
    <w:p>
      <w:pPr>
        <w:spacing w:after="120"/>
        <w:jc w:val="both"/>
        <w:rPr>
          <w:lang w:val="en-US" w:eastAsia="zh-CN"/>
        </w:rPr>
      </w:pPr>
      <w:r>
        <w:rPr>
          <w:rFonts w:hint="eastAsia"/>
          <w:lang w:val="en-US" w:eastAsia="zh-CN"/>
        </w:rPr>
        <w:t>During</w:t>
      </w:r>
      <w:r>
        <w:rPr>
          <w:lang w:eastAsia="zh-CN"/>
        </w:rPr>
        <w:t xml:space="preserve"> last RAN1#10</w:t>
      </w:r>
      <w:r>
        <w:rPr>
          <w:lang w:val="en-US" w:eastAsia="zh-CN"/>
        </w:rPr>
        <w:t>9</w:t>
      </w:r>
      <w:r>
        <w:rPr>
          <w:lang w:eastAsia="zh-CN"/>
        </w:rPr>
        <w:t xml:space="preserve"> e-meeting [</w:t>
      </w:r>
      <w:r>
        <w:rPr>
          <w:rFonts w:hint="default"/>
          <w:lang w:val="en-US" w:eastAsia="zh-CN"/>
        </w:rPr>
        <w:t>1</w:t>
      </w:r>
      <w:r>
        <w:rPr>
          <w:lang w:eastAsia="zh-CN"/>
        </w:rPr>
        <w:t xml:space="preserve">], </w:t>
      </w:r>
      <w:r>
        <w:rPr>
          <w:rFonts w:hint="eastAsia"/>
          <w:lang w:val="en-US" w:eastAsia="zh-CN"/>
        </w:rPr>
        <w:t xml:space="preserve">issues </w:t>
      </w:r>
      <w:r>
        <w:rPr>
          <w:lang w:val="en-US" w:eastAsia="zh-CN"/>
        </w:rPr>
        <w:t>on</w:t>
      </w:r>
      <w:r>
        <w:rPr>
          <w:rFonts w:hint="eastAsia"/>
          <w:lang w:val="en-US" w:eastAsia="zh-CN"/>
        </w:rPr>
        <w:t xml:space="preserve"> </w:t>
      </w:r>
      <w:r>
        <w:rPr>
          <w:lang w:val="en-US" w:eastAsia="zh-CN"/>
        </w:rPr>
        <w:t xml:space="preserve">the target scenarios and potential switching mechanisms for Rel-18 multi-carrier UL Tx switching </w:t>
      </w:r>
      <w:r>
        <w:rPr>
          <w:rFonts w:hint="eastAsia"/>
          <w:lang w:val="en-US" w:eastAsia="zh-CN"/>
        </w:rPr>
        <w:t>were discussed</w:t>
      </w:r>
      <w:r>
        <w:rPr>
          <w:lang w:val="en-US" w:eastAsia="zh-CN"/>
        </w:rPr>
        <w:t>,</w:t>
      </w:r>
      <w:r>
        <w:rPr>
          <w:rFonts w:hint="eastAsia"/>
          <w:lang w:val="en-US" w:eastAsia="zh-CN"/>
        </w:rPr>
        <w:t xml:space="preserve"> and some </w:t>
      </w:r>
      <w:r>
        <w:rPr>
          <w:lang w:val="en-US" w:eastAsia="zh-CN"/>
        </w:rPr>
        <w:t>general framework</w:t>
      </w:r>
      <w:r>
        <w:rPr>
          <w:rFonts w:hint="default"/>
          <w:lang w:val="en-US" w:eastAsia="zh-CN"/>
        </w:rPr>
        <w:t>s</w:t>
      </w:r>
      <w:r>
        <w:rPr>
          <w:lang w:val="en-US" w:eastAsia="zh-CN"/>
        </w:rPr>
        <w:t xml:space="preserve"> were identified</w:t>
      </w:r>
      <w:r>
        <w:rPr>
          <w:rFonts w:hint="eastAsia"/>
          <w:lang w:val="en-US" w:eastAsia="zh-CN"/>
        </w:rPr>
        <w:t xml:space="preserve"> to support </w:t>
      </w:r>
      <w:r>
        <w:rPr>
          <w:lang w:val="en-US" w:eastAsia="zh-CN"/>
        </w:rPr>
        <w:t>dynamic switching across 3 or 4 configured bands</w:t>
      </w:r>
      <w:r>
        <w:rPr>
          <w:rFonts w:hint="eastAsia"/>
          <w:lang w:val="en-US" w:eastAsia="zh-CN"/>
        </w:rPr>
        <w:t>.</w:t>
      </w:r>
    </w:p>
    <w:p>
      <w:pPr>
        <w:jc w:val="both"/>
        <w:rPr>
          <w:lang w:eastAsia="zh-CN"/>
        </w:rPr>
      </w:pPr>
      <w:r>
        <w:rPr>
          <w:lang w:eastAsia="zh-CN"/>
        </w:rPr>
        <w:t>In this contribution, we will discuss</w:t>
      </w:r>
      <w:r>
        <w:rPr>
          <w:rFonts w:hint="eastAsia"/>
          <w:lang w:val="en-US" w:eastAsia="zh-CN"/>
        </w:rPr>
        <w:t xml:space="preserve"> and share our views on</w:t>
      </w:r>
      <w:r>
        <w:rPr>
          <w:lang w:val="en-US" w:eastAsia="zh-CN"/>
        </w:rPr>
        <w:t xml:space="preserve"> the issues on</w:t>
      </w:r>
      <w:r>
        <w:rPr>
          <w:rFonts w:hint="eastAsia"/>
          <w:lang w:val="en-US" w:eastAsia="zh-CN"/>
        </w:rPr>
        <w:t xml:space="preserve"> </w:t>
      </w:r>
      <w:r>
        <w:rPr>
          <w:lang w:val="en-US" w:eastAsia="zh-CN"/>
        </w:rPr>
        <w:t xml:space="preserve">multi-carrier </w:t>
      </w:r>
      <w:r>
        <w:rPr>
          <w:rFonts w:hint="eastAsia"/>
          <w:lang w:val="en-US" w:eastAsia="zh-CN"/>
        </w:rPr>
        <w:t>UL Tx switching schemes</w:t>
      </w:r>
      <w:r>
        <w:rPr>
          <w:lang w:val="en-US" w:eastAsia="zh-CN"/>
        </w:rPr>
        <w:t>, including dynamic UL Tx switching mechanism and corresponding configurations</w:t>
      </w:r>
      <w:r>
        <w:rPr>
          <w:lang w:eastAsia="zh-CN"/>
        </w:rPr>
        <w:t>.</w:t>
      </w:r>
    </w:p>
    <w:p>
      <w:pPr>
        <w:pStyle w:val="2"/>
        <w:numPr>
          <w:ilvl w:val="0"/>
          <w:numId w:val="5"/>
        </w:numPr>
        <w:jc w:val="both"/>
        <w:rPr>
          <w:rFonts w:ascii="Times New Roman" w:hAnsi="Times New Roman" w:eastAsiaTheme="minorEastAsia"/>
          <w:lang w:eastAsia="zh-CN"/>
        </w:rPr>
      </w:pPr>
      <w:r>
        <w:rPr>
          <w:rFonts w:ascii="Times New Roman" w:hAnsi="Times New Roman" w:eastAsiaTheme="minorEastAsia"/>
          <w:lang w:eastAsia="zh-CN"/>
        </w:rPr>
        <w:t>Discussion</w:t>
      </w:r>
    </w:p>
    <w:p>
      <w:pPr>
        <w:pStyle w:val="3"/>
        <w:ind w:left="0" w:firstLine="0"/>
        <w:jc w:val="both"/>
        <w:rPr>
          <w:sz w:val="21"/>
          <w:szCs w:val="21"/>
          <w:lang w:val="en-US"/>
        </w:rPr>
      </w:pPr>
      <w:r>
        <w:rPr>
          <w:rFonts w:hint="eastAsia" w:ascii="Times New Roman" w:hAnsi="Times New Roman"/>
          <w:lang w:eastAsia="zh-CN"/>
        </w:rPr>
        <w:t>2</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 xml:space="preserve"> </w:t>
      </w:r>
      <w:r>
        <w:rPr>
          <w:rFonts w:ascii="Times New Roman" w:hAnsi="Times New Roman"/>
          <w:lang w:val="en-US" w:eastAsia="zh-CN"/>
        </w:rPr>
        <w:t>Dynamic switching mechanism</w:t>
      </w:r>
    </w:p>
    <w:p>
      <w:pPr>
        <w:jc w:val="both"/>
        <w:rPr>
          <w:lang w:eastAsia="zh-CN"/>
        </w:rPr>
      </w:pPr>
      <w:r>
        <w:rPr>
          <w:sz w:val="21"/>
          <w:szCs w:val="21"/>
          <w:lang w:val="en-US"/>
        </w:rPr>
        <w:t xml:space="preserve">As the switching capability is enabled in more bands for Rel-18 UL Tx switching, the increasing cases of different band combination scenarios lead to the design for UL Tx switching mechanism become more complex. </w:t>
      </w:r>
      <w:r>
        <w:rPr>
          <w:lang w:val="en-US" w:eastAsia="zh-CN"/>
        </w:rPr>
        <w:t>In this section, we will discuss potential</w:t>
      </w:r>
      <w:r>
        <w:rPr>
          <w:lang w:eastAsia="zh-CN"/>
        </w:rPr>
        <w:t xml:space="preserve"> dynamic</w:t>
      </w:r>
      <w:r>
        <w:rPr>
          <w:lang w:val="en-US" w:eastAsia="zh-CN"/>
        </w:rPr>
        <w:t xml:space="preserve"> </w:t>
      </w:r>
      <w:r>
        <w:rPr>
          <w:rFonts w:hint="eastAsia"/>
          <w:lang w:eastAsia="zh-CN"/>
        </w:rPr>
        <w:t>switching mechanism</w:t>
      </w:r>
      <w:r>
        <w:rPr>
          <w:lang w:val="en-US" w:eastAsia="zh-CN"/>
        </w:rPr>
        <w:t xml:space="preserve"> to support UL Tx switching across 3 and 4 bands</w:t>
      </w:r>
      <w:r>
        <w:rPr>
          <w:rFonts w:hint="eastAsia"/>
          <w:lang w:val="en-US" w:eastAsia="zh-CN"/>
        </w:rPr>
        <w:t>.</w:t>
      </w:r>
      <w:r>
        <w:rPr>
          <w:lang w:val="en-US" w:eastAsia="zh-CN"/>
        </w:rPr>
        <w:t xml:space="preserve"> </w:t>
      </w:r>
    </w:p>
    <w:p>
      <w:pPr>
        <w:jc w:val="both"/>
        <w:rPr>
          <w:lang w:val="en-US" w:eastAsia="zh-CN"/>
        </w:rPr>
      </w:pPr>
      <w:r>
        <w:rPr>
          <w:rFonts w:hint="eastAsia"/>
          <w:lang w:eastAsia="zh-CN"/>
        </w:rPr>
        <w:t>During RAN</w:t>
      </w:r>
      <w:r>
        <w:rPr>
          <w:lang w:val="en-US" w:eastAsia="zh-CN"/>
        </w:rPr>
        <w:t>#96</w:t>
      </w:r>
      <w:r>
        <w:rPr>
          <w:rFonts w:hint="eastAsia"/>
          <w:lang w:eastAsia="zh-CN"/>
        </w:rPr>
        <w:t xml:space="preserve"> meeting, the target scenarios for Rel-18 UL Tx switching</w:t>
      </w:r>
      <w:r>
        <w:rPr>
          <w:lang w:val="en-US" w:eastAsia="zh-CN"/>
        </w:rPr>
        <w:t xml:space="preserve"> were discussed and the </w:t>
      </w:r>
      <w:r>
        <w:rPr>
          <w:rFonts w:hint="eastAsia"/>
          <w:lang w:eastAsia="zh-CN"/>
        </w:rPr>
        <w:t xml:space="preserve">following </w:t>
      </w:r>
      <w:r>
        <w:rPr>
          <w:lang w:val="en-US" w:eastAsia="zh-CN"/>
        </w:rPr>
        <w:t>guidance is provided for further study</w:t>
      </w:r>
      <w:r>
        <w:rPr>
          <w:rFonts w:hint="default"/>
          <w:lang w:val="en-US" w:eastAsia="zh-CN"/>
        </w:rPr>
        <w:t xml:space="preserve"> [2]</w:t>
      </w:r>
      <w:r>
        <w:rPr>
          <w:lang w:val="en-US" w:eastAsia="zh-CN"/>
        </w:rPr>
        <w: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83" w:type="dxa"/>
          </w:tcPr>
          <w:p>
            <w:pPr>
              <w:overflowPunct w:val="0"/>
              <w:autoSpaceDE w:val="0"/>
              <w:autoSpaceDN w:val="0"/>
              <w:adjustRightInd w:val="0"/>
              <w:spacing w:after="120" w:afterLines="50"/>
              <w:jc w:val="both"/>
              <w:textAlignment w:val="baseline"/>
            </w:pPr>
            <w:r>
              <w:t>RAN provides following guidance to RAN1/2/4.</w:t>
            </w:r>
          </w:p>
          <w:p>
            <w:pPr>
              <w:pStyle w:val="135"/>
              <w:numPr>
                <w:ilvl w:val="0"/>
                <w:numId w:val="6"/>
              </w:numPr>
              <w:overflowPunct w:val="0"/>
              <w:autoSpaceDE w:val="0"/>
              <w:autoSpaceDN w:val="0"/>
              <w:adjustRightInd w:val="0"/>
              <w:spacing w:after="120" w:afterLines="50"/>
              <w:ind w:leftChars="0"/>
              <w:jc w:val="both"/>
              <w:textAlignment w:val="baseline"/>
              <w:rPr>
                <w:szCs w:val="20"/>
              </w:rPr>
            </w:pPr>
            <w:r>
              <w:rPr>
                <w:szCs w:val="20"/>
              </w:rPr>
              <w:t xml:space="preserve">If Rel-18 UL Tx switching is supported, </w:t>
            </w:r>
          </w:p>
          <w:p>
            <w:pPr>
              <w:pStyle w:val="135"/>
              <w:numPr>
                <w:ilvl w:val="1"/>
                <w:numId w:val="6"/>
              </w:numPr>
              <w:overflowPunct w:val="0"/>
              <w:autoSpaceDE w:val="0"/>
              <w:autoSpaceDN w:val="0"/>
              <w:adjustRightInd w:val="0"/>
              <w:spacing w:after="120" w:afterLines="50"/>
              <w:ind w:leftChars="0"/>
              <w:jc w:val="both"/>
              <w:textAlignment w:val="baseline"/>
              <w:rPr>
                <w:szCs w:val="20"/>
              </w:rPr>
            </w:pPr>
            <w:r>
              <w:rPr>
                <w:szCs w:val="20"/>
                <w:lang w:eastAsia="zh-CN"/>
              </w:rPr>
              <w:t>RAN1/2/4 shall focus on defining necessary mechanisms and requirements for UL Tx switching across 3 or 4 different bands in Q3 2022</w:t>
            </w:r>
          </w:p>
          <w:p>
            <w:pPr>
              <w:pStyle w:val="135"/>
              <w:numPr>
                <w:ilvl w:val="2"/>
                <w:numId w:val="6"/>
              </w:numPr>
              <w:overflowPunct w:val="0"/>
              <w:autoSpaceDE w:val="0"/>
              <w:autoSpaceDN w:val="0"/>
              <w:adjustRightInd w:val="0"/>
              <w:spacing w:after="120" w:afterLines="50"/>
              <w:ind w:leftChars="0"/>
              <w:jc w:val="both"/>
              <w:textAlignment w:val="baseline"/>
              <w:rPr>
                <w:szCs w:val="20"/>
              </w:rPr>
            </w:pPr>
            <w:r>
              <w:rPr>
                <w:szCs w:val="20"/>
                <w:lang w:eastAsia="zh-CN"/>
              </w:rPr>
              <w:t>Inter-band UL-CA Option 1 (i.e., switched UL) and Option 2 (i.e., dual UL) without SUL band</w:t>
            </w:r>
          </w:p>
          <w:p>
            <w:pPr>
              <w:pStyle w:val="135"/>
              <w:numPr>
                <w:ilvl w:val="2"/>
                <w:numId w:val="6"/>
              </w:numPr>
              <w:overflowPunct w:val="0"/>
              <w:autoSpaceDE w:val="0"/>
              <w:autoSpaceDN w:val="0"/>
              <w:adjustRightInd w:val="0"/>
              <w:spacing w:after="120" w:afterLines="50"/>
              <w:ind w:leftChars="0"/>
              <w:jc w:val="both"/>
              <w:textAlignment w:val="baseline"/>
              <w:rPr>
                <w:szCs w:val="20"/>
              </w:rPr>
            </w:pPr>
            <w:r>
              <w:rPr>
                <w:szCs w:val="20"/>
                <w:lang w:eastAsia="zh-CN"/>
              </w:rPr>
              <w:t>Inter-band UL CA Option 1 (i.e., switched UL) for {SUL band + corresponding NUL band} + 1 or 2 other NUL band(s)</w:t>
            </w:r>
          </w:p>
          <w:p>
            <w:pPr>
              <w:pStyle w:val="135"/>
              <w:numPr>
                <w:ilvl w:val="3"/>
                <w:numId w:val="6"/>
              </w:numPr>
              <w:overflowPunct w:val="0"/>
              <w:autoSpaceDE w:val="0"/>
              <w:autoSpaceDN w:val="0"/>
              <w:adjustRightInd w:val="0"/>
              <w:spacing w:after="120" w:afterLines="50"/>
              <w:ind w:leftChars="0"/>
              <w:jc w:val="both"/>
              <w:textAlignment w:val="baseline"/>
              <w:rPr>
                <w:color w:val="000000" w:themeColor="text1"/>
                <w:szCs w:val="20"/>
                <w14:textFill>
                  <w14:solidFill>
                    <w14:schemeClr w14:val="tx1"/>
                  </w14:solidFill>
                </w14:textFill>
              </w:rPr>
            </w:pPr>
            <w:r>
              <w:rPr>
                <w:color w:val="000000" w:themeColor="text1"/>
                <w:szCs w:val="20"/>
                <w14:textFill>
                  <w14:solidFill>
                    <w14:schemeClr w14:val="tx1"/>
                  </w14:solidFill>
                </w14:textFill>
              </w:rPr>
              <w:t>UL CA framework where UL CA is performed between NULs according to current RAN4 specifications should not be changed</w:t>
            </w:r>
          </w:p>
          <w:p>
            <w:pPr>
              <w:pStyle w:val="135"/>
              <w:numPr>
                <w:ilvl w:val="3"/>
                <w:numId w:val="6"/>
              </w:numPr>
              <w:overflowPunct w:val="0"/>
              <w:autoSpaceDE w:val="0"/>
              <w:autoSpaceDN w:val="0"/>
              <w:adjustRightInd w:val="0"/>
              <w:spacing w:after="120" w:afterLines="50"/>
              <w:ind w:leftChars="0"/>
              <w:jc w:val="both"/>
              <w:textAlignment w:val="baseline"/>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N</w:t>
            </w:r>
            <w:r>
              <w:rPr>
                <w:color w:val="000000" w:themeColor="text1"/>
                <w:szCs w:val="20"/>
                <w14:textFill>
                  <w14:solidFill>
                    <w14:schemeClr w14:val="tx1"/>
                  </w14:solidFill>
                </w14:textFill>
              </w:rPr>
              <w:t>ote: switching across any band in this scenario is not precluded</w:t>
            </w:r>
          </w:p>
          <w:p>
            <w:pPr>
              <w:pStyle w:val="135"/>
              <w:numPr>
                <w:ilvl w:val="2"/>
                <w:numId w:val="6"/>
              </w:numPr>
              <w:overflowPunct w:val="0"/>
              <w:autoSpaceDE w:val="0"/>
              <w:autoSpaceDN w:val="0"/>
              <w:adjustRightInd w:val="0"/>
              <w:spacing w:after="120" w:afterLines="50"/>
              <w:ind w:leftChars="0"/>
              <w:jc w:val="both"/>
              <w:textAlignment w:val="baseline"/>
              <w:rPr>
                <w:szCs w:val="20"/>
              </w:rPr>
            </w:pPr>
            <w:r>
              <w:rPr>
                <w:szCs w:val="20"/>
                <w:lang w:eastAsia="zh-CN"/>
              </w:rPr>
              <w:t>Intra-band two contiguous aggregated carriers within one non-SUL band out of 3 or 4 bands</w:t>
            </w:r>
          </w:p>
          <w:p>
            <w:pPr>
              <w:pStyle w:val="135"/>
              <w:numPr>
                <w:ilvl w:val="1"/>
                <w:numId w:val="6"/>
              </w:numPr>
              <w:overflowPunct w:val="0"/>
              <w:autoSpaceDE w:val="0"/>
              <w:autoSpaceDN w:val="0"/>
              <w:adjustRightInd w:val="0"/>
              <w:spacing w:after="120" w:afterLines="50"/>
              <w:ind w:leftChars="0"/>
              <w:jc w:val="both"/>
              <w:textAlignment w:val="baseline"/>
              <w:rPr>
                <w:szCs w:val="20"/>
              </w:rPr>
            </w:pPr>
            <w:r>
              <w:rPr>
                <w:szCs w:val="20"/>
              </w:rPr>
              <w:t>Further check additional scenarios in RAN#97e, e.g.,</w:t>
            </w:r>
          </w:p>
          <w:p>
            <w:pPr>
              <w:pStyle w:val="135"/>
              <w:numPr>
                <w:ilvl w:val="2"/>
                <w:numId w:val="6"/>
              </w:numPr>
              <w:overflowPunct w:val="0"/>
              <w:autoSpaceDE w:val="0"/>
              <w:autoSpaceDN w:val="0"/>
              <w:adjustRightInd w:val="0"/>
              <w:spacing w:after="120" w:afterLines="50"/>
              <w:ind w:leftChars="0"/>
              <w:jc w:val="both"/>
              <w:textAlignment w:val="baseline"/>
              <w:rPr>
                <w:szCs w:val="20"/>
              </w:rPr>
            </w:pPr>
            <w:r>
              <w:rPr>
                <w:szCs w:val="20"/>
                <w:lang w:eastAsia="zh-CN"/>
              </w:rPr>
              <w:t>{SUL band + corresponding NUL band} + {SUL band + corresponding NUL band}</w:t>
            </w:r>
          </w:p>
          <w:p>
            <w:pPr>
              <w:pStyle w:val="135"/>
              <w:numPr>
                <w:ilvl w:val="2"/>
                <w:numId w:val="6"/>
              </w:numPr>
              <w:overflowPunct w:val="0"/>
              <w:autoSpaceDE w:val="0"/>
              <w:autoSpaceDN w:val="0"/>
              <w:adjustRightInd w:val="0"/>
              <w:spacing w:after="120" w:afterLines="50"/>
              <w:ind w:leftChars="0"/>
              <w:jc w:val="both"/>
              <w:textAlignment w:val="baseline"/>
              <w:rPr>
                <w:szCs w:val="20"/>
              </w:rPr>
            </w:pPr>
            <w:r>
              <w:rPr>
                <w:szCs w:val="20"/>
              </w:rPr>
              <w:t xml:space="preserve">Simultaneous transmission across 2 bands in </w:t>
            </w:r>
            <w:r>
              <w:rPr>
                <w:szCs w:val="20"/>
                <w:lang w:eastAsia="zh-CN"/>
              </w:rPr>
              <w:t>{SUL band + corresponding NUL band} + 1 or 2 other NUL band(s) (excluding simultaneous transmission between SUL and corresponding NUL)</w:t>
            </w:r>
          </w:p>
          <w:p>
            <w:pPr>
              <w:pStyle w:val="156"/>
              <w:numPr>
                <w:ilvl w:val="1"/>
                <w:numId w:val="7"/>
              </w:numPr>
              <w:overflowPunct/>
              <w:autoSpaceDE/>
              <w:autoSpaceDN/>
              <w:adjustRightInd/>
              <w:spacing w:after="0"/>
              <w:ind w:left="726" w:leftChars="0" w:hanging="363"/>
              <w:jc w:val="both"/>
              <w:textAlignment w:val="auto"/>
              <w:rPr>
                <w:rFonts w:eastAsia="MS Mincho"/>
                <w:bCs/>
                <w:iCs/>
                <w:lang w:eastAsia="en-US"/>
              </w:rPr>
            </w:pPr>
            <w:r>
              <w:rPr>
                <w:color w:val="000000" w:themeColor="text1"/>
                <w14:textFill>
                  <w14:solidFill>
                    <w14:schemeClr w14:val="tx1"/>
                  </w14:solidFill>
                </w14:textFill>
              </w:rPr>
              <w:t xml:space="preserve">Mechanisms/requirements should not introduce restrictions on what </w:t>
            </w:r>
            <w:r>
              <w:rPr>
                <w:rFonts w:hint="eastAsia"/>
                <w:color w:val="000000" w:themeColor="text1"/>
                <w14:textFill>
                  <w14:solidFill>
                    <w14:schemeClr w14:val="tx1"/>
                  </w14:solidFill>
                </w14:textFill>
              </w:rPr>
              <w:t>w</w:t>
            </w:r>
            <w:r>
              <w:rPr>
                <w:color w:val="000000" w:themeColor="text1"/>
                <w14:textFill>
                  <w14:solidFill>
                    <w14:schemeClr w14:val="tx1"/>
                  </w14:solidFill>
                </w14:textFill>
              </w:rPr>
              <w:t>ere already supported in current specifications for UL Tx switching</w:t>
            </w:r>
          </w:p>
        </w:tc>
      </w:tr>
    </w:tbl>
    <w:p>
      <w:pPr>
        <w:jc w:val="both"/>
        <w:rPr>
          <w:lang w:val="en-US" w:eastAsia="zh-CN"/>
        </w:rPr>
      </w:pPr>
      <w:r>
        <w:rPr>
          <w:sz w:val="21"/>
          <w:szCs w:val="21"/>
          <w:lang w:val="en-US"/>
        </w:rPr>
        <w:t xml:space="preserve">According to the above clarification, the cases we discuss will focus on the UL CA </w:t>
      </w:r>
      <w:r>
        <w:rPr>
          <w:lang w:eastAsia="zh-CN"/>
        </w:rPr>
        <w:t>Option 1 (i.e., switched UL) and Option 2 (i.e., dual UL)</w:t>
      </w:r>
      <w:r>
        <w:rPr>
          <w:lang w:val="en-US" w:eastAsia="zh-CN"/>
        </w:rPr>
        <w:t xml:space="preserve"> </w:t>
      </w:r>
      <w:r>
        <w:rPr>
          <w:sz w:val="21"/>
          <w:szCs w:val="21"/>
          <w:lang w:val="en-US"/>
        </w:rPr>
        <w:t xml:space="preserve">without SUL and UL CA with one SUL scenarios for Rel-18 multi-carrier UL Tx operation. </w:t>
      </w:r>
      <w:r>
        <w:rPr>
          <w:lang w:val="en-US" w:eastAsia="zh-CN"/>
        </w:rPr>
        <w:t>During last RAN1 meeting, some potential mechanism</w:t>
      </w:r>
      <w:r>
        <w:rPr>
          <w:rFonts w:hint="eastAsia"/>
          <w:lang w:val="en-US" w:eastAsia="zh-CN"/>
        </w:rPr>
        <w:t>s</w:t>
      </w:r>
      <w:r>
        <w:rPr>
          <w:lang w:val="en-US" w:eastAsia="zh-CN"/>
        </w:rPr>
        <w:t xml:space="preserve"> for dynamic Tx switching across the configured bands are agreed for further down-selection and the related analysis from our side are as the following.</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9" w:type="dxa"/>
          </w:tcPr>
          <w:p>
            <w:pPr>
              <w:overflowPunct/>
              <w:autoSpaceDE/>
              <w:autoSpaceDN/>
              <w:adjustRightInd/>
              <w:spacing w:after="0"/>
              <w:textAlignment w:val="baseline"/>
              <w:rPr>
                <w:rFonts w:eastAsia="等线"/>
                <w:b/>
                <w:bCs/>
                <w:szCs w:val="24"/>
                <w:highlight w:val="green"/>
                <w:lang w:eastAsia="zh-CN"/>
              </w:rPr>
            </w:pPr>
            <w:r>
              <w:rPr>
                <w:rFonts w:eastAsia="等线"/>
                <w:b/>
                <w:bCs/>
                <w:szCs w:val="24"/>
                <w:highlight w:val="green"/>
                <w:lang w:eastAsia="zh-CN"/>
              </w:rPr>
              <w:t>Agreement</w:t>
            </w:r>
          </w:p>
          <w:p>
            <w:pPr>
              <w:pStyle w:val="156"/>
              <w:overflowPunct/>
              <w:autoSpaceDE/>
              <w:autoSpaceDN/>
              <w:adjustRightInd/>
              <w:spacing w:after="0"/>
              <w:ind w:left="0" w:leftChars="0"/>
              <w:jc w:val="both"/>
              <w:textAlignment w:val="auto"/>
              <w:rPr>
                <w:lang w:eastAsia="ja-JP"/>
              </w:rPr>
            </w:pPr>
            <w:r>
              <w:rPr>
                <w:lang w:eastAsia="ja-JP"/>
              </w:rPr>
              <w:t>Companies are encouraged to investigate pros and cons of following possible mechanisms for dynamic Tx carrier switching across the configured bands, and RAN1 strives for the down-selection at RAN1#110</w:t>
            </w:r>
          </w:p>
          <w:p>
            <w:pPr>
              <w:pStyle w:val="156"/>
              <w:numPr>
                <w:ilvl w:val="1"/>
                <w:numId w:val="7"/>
              </w:numPr>
              <w:overflowPunct/>
              <w:autoSpaceDE/>
              <w:autoSpaceDN/>
              <w:adjustRightInd/>
              <w:spacing w:after="0"/>
              <w:ind w:left="726" w:leftChars="0" w:hanging="363"/>
              <w:jc w:val="both"/>
              <w:textAlignment w:val="auto"/>
              <w:rPr>
                <w:lang w:eastAsia="ja-JP"/>
              </w:rPr>
            </w:pPr>
            <w:r>
              <w:rPr>
                <w:lang w:eastAsia="ja-JP"/>
              </w:rPr>
              <w:t>Alt.1: Dynamic Tx carrier switching can be across all the supported switching cases by the UE and based on the UL scheduling, i.e., via UL grant and/or RRC configuration for UL transmission</w:t>
            </w:r>
          </w:p>
          <w:p>
            <w:pPr>
              <w:pStyle w:val="156"/>
              <w:numPr>
                <w:ilvl w:val="1"/>
                <w:numId w:val="7"/>
              </w:numPr>
              <w:overflowPunct/>
              <w:autoSpaceDE/>
              <w:autoSpaceDN/>
              <w:adjustRightInd/>
              <w:spacing w:after="0"/>
              <w:ind w:left="726" w:leftChars="0" w:hanging="363"/>
              <w:jc w:val="both"/>
              <w:textAlignment w:val="auto"/>
              <w:rPr>
                <w:lang w:eastAsia="ja-JP"/>
              </w:rPr>
            </w:pPr>
            <w:r>
              <w:rPr>
                <w:lang w:eastAsia="ja-JP"/>
              </w:rPr>
              <w:t>Alt.2: NW indicates 2 bands out of the configured bands (3 or 4 bands) via DCI or MAC-CE, and dynamic Tx carrier switching between indicated bands is same as Rel-17</w:t>
            </w:r>
          </w:p>
          <w:p>
            <w:pPr>
              <w:pStyle w:val="156"/>
              <w:numPr>
                <w:ilvl w:val="1"/>
                <w:numId w:val="7"/>
              </w:numPr>
              <w:overflowPunct/>
              <w:autoSpaceDE/>
              <w:autoSpaceDN/>
              <w:adjustRightInd/>
              <w:spacing w:after="0"/>
              <w:ind w:left="726" w:leftChars="0" w:hanging="363"/>
              <w:jc w:val="both"/>
              <w:textAlignment w:val="auto"/>
              <w:rPr>
                <w:lang w:eastAsia="ja-JP"/>
              </w:rPr>
            </w:pPr>
            <w:r>
              <w:rPr>
                <w:lang w:eastAsia="ja-JP"/>
              </w:rPr>
              <w:t>Alt.3: One anchor band is selected among configured bands (3 or 4 bands), and dynamic Tx carrier switching can be performed only from the anchor band to a non-anchor band and from a non-anchor band to the anchor band</w:t>
            </w:r>
          </w:p>
          <w:p>
            <w:pPr>
              <w:pStyle w:val="156"/>
              <w:numPr>
                <w:ilvl w:val="1"/>
                <w:numId w:val="7"/>
              </w:numPr>
              <w:overflowPunct/>
              <w:autoSpaceDE/>
              <w:autoSpaceDN/>
              <w:adjustRightInd/>
              <w:spacing w:after="0"/>
              <w:ind w:left="726" w:leftChars="0" w:hanging="363"/>
              <w:jc w:val="both"/>
              <w:textAlignment w:val="auto"/>
              <w:rPr>
                <w:rFonts w:eastAsia="MS Mincho"/>
                <w:bCs/>
                <w:iCs/>
                <w:lang w:eastAsia="en-US"/>
              </w:rPr>
            </w:pPr>
            <w:r>
              <w:rPr>
                <w:lang w:eastAsia="ja-JP"/>
              </w:rPr>
              <w:t>Note: Other mechanisms are not precluded</w:t>
            </w:r>
          </w:p>
        </w:tc>
      </w:tr>
    </w:tbl>
    <w:p>
      <w:pPr>
        <w:jc w:val="both"/>
        <w:rPr>
          <w:rFonts w:hint="eastAsia"/>
          <w:b/>
          <w:bCs w:val="0"/>
          <w:u w:val="single"/>
          <w:lang w:val="en-US" w:eastAsia="zh-CN"/>
        </w:rPr>
      </w:pPr>
      <w:r>
        <w:rPr>
          <w:rFonts w:hint="eastAsia"/>
          <w:b/>
          <w:bCs w:val="0"/>
          <w:u w:val="single"/>
          <w:lang w:val="en-US" w:eastAsia="zh-CN"/>
        </w:rPr>
        <w:t>A</w:t>
      </w:r>
      <w:r>
        <w:rPr>
          <w:b/>
          <w:bCs w:val="0"/>
          <w:u w:val="single"/>
          <w:lang w:val="en-US" w:eastAsia="zh-CN"/>
        </w:rPr>
        <w:t>lt 1</w:t>
      </w:r>
      <w:r>
        <w:rPr>
          <w:b/>
          <w:u w:val="single"/>
          <w:lang w:val="en-US" w:eastAsia="zh-CN"/>
        </w:rPr>
        <w:t>:</w:t>
      </w:r>
    </w:p>
    <w:p>
      <w:pPr>
        <w:jc w:val="both"/>
        <w:rPr>
          <w:sz w:val="21"/>
          <w:szCs w:val="21"/>
          <w:lang w:val="en-US" w:eastAsia="zh-CN"/>
        </w:rPr>
      </w:pPr>
      <w:r>
        <w:rPr>
          <w:bCs/>
          <w:lang w:val="en-US"/>
        </w:rPr>
        <w:t xml:space="preserve">The principle of Rel-17 switching mechanism will be extended to 3 or 4 bands in Alt.1. In this way, to </w:t>
      </w:r>
      <w:r>
        <w:rPr>
          <w:lang w:val="en-US" w:eastAsia="zh-CN"/>
        </w:rPr>
        <w:t>clarify the conditions that need to</w:t>
      </w:r>
      <w:r>
        <w:rPr>
          <w:lang w:eastAsia="zh-CN"/>
        </w:rPr>
        <w:t xml:space="preserve"> trigger switching </w:t>
      </w:r>
      <w:r>
        <w:rPr>
          <w:lang w:val="en-US" w:eastAsia="zh-CN"/>
        </w:rPr>
        <w:t>period</w:t>
      </w:r>
      <w:r>
        <w:rPr>
          <w:lang w:eastAsia="zh-CN"/>
        </w:rPr>
        <w:t xml:space="preserve"> for the cases</w:t>
      </w:r>
      <w:r>
        <w:rPr>
          <w:lang w:val="en-US" w:eastAsia="zh-CN"/>
        </w:rPr>
        <w:t>, the mapping between</w:t>
      </w:r>
      <w:r>
        <w:rPr>
          <w:lang w:eastAsia="zh-CN"/>
        </w:rPr>
        <w:t xml:space="preserve"> antenna ports </w:t>
      </w:r>
      <w:r>
        <w:rPr>
          <w:lang w:val="en-US" w:eastAsia="zh-CN"/>
        </w:rPr>
        <w:t>and</w:t>
      </w:r>
      <w:r>
        <w:rPr>
          <w:lang w:eastAsia="zh-CN"/>
        </w:rPr>
        <w:t xml:space="preserve"> Tx chains</w:t>
      </w:r>
      <w:r>
        <w:rPr>
          <w:lang w:val="en-US" w:eastAsia="zh-CN"/>
        </w:rPr>
        <w:t xml:space="preserve"> for all possible cases need unified definition. </w:t>
      </w:r>
      <w:r>
        <w:rPr>
          <w:sz w:val="21"/>
          <w:szCs w:val="21"/>
          <w:lang w:val="en-US" w:eastAsia="zh-CN"/>
        </w:rPr>
        <w:t>Regarding the Tx</w:t>
      </w:r>
      <w:r>
        <w:rPr>
          <w:sz w:val="21"/>
          <w:szCs w:val="21"/>
        </w:rPr>
        <w:t xml:space="preserve"> switching for </w:t>
      </w:r>
      <w:r>
        <w:rPr>
          <w:sz w:val="21"/>
          <w:szCs w:val="21"/>
          <w:lang w:val="en-US"/>
        </w:rPr>
        <w:t xml:space="preserve">SUL and </w:t>
      </w:r>
      <w:r>
        <w:rPr>
          <w:sz w:val="21"/>
          <w:szCs w:val="21"/>
        </w:rPr>
        <w:t>UL CA option 1</w:t>
      </w:r>
      <w:r>
        <w:rPr>
          <w:sz w:val="21"/>
          <w:szCs w:val="21"/>
          <w:lang w:val="en-US"/>
        </w:rPr>
        <w:t xml:space="preserve"> </w:t>
      </w:r>
      <w:r>
        <w:rPr>
          <w:lang w:eastAsia="zh-CN"/>
        </w:rPr>
        <w:t>(</w:t>
      </w:r>
      <w:r>
        <w:rPr>
          <w:rFonts w:eastAsia="Times New Roman"/>
          <w:lang w:eastAsia="en-GB"/>
        </w:rPr>
        <w:t>switched</w:t>
      </w:r>
      <w:r>
        <w:rPr>
          <w:rFonts w:hint="default" w:eastAsia="Times New Roman"/>
          <w:lang w:val="en-US" w:eastAsia="en-GB"/>
        </w:rPr>
        <w:t xml:space="preserve"> </w:t>
      </w:r>
      <w:r>
        <w:rPr>
          <w:rFonts w:eastAsia="Times New Roman"/>
          <w:lang w:eastAsia="en-GB"/>
        </w:rPr>
        <w:t>UL</w:t>
      </w:r>
      <w:r>
        <w:rPr>
          <w:lang w:eastAsia="zh-CN"/>
        </w:rPr>
        <w:t>)</w:t>
      </w:r>
      <w:r>
        <w:rPr>
          <w:sz w:val="21"/>
          <w:szCs w:val="21"/>
          <w:lang w:val="en-US"/>
        </w:rPr>
        <w:t>, there is no concurrent transmission on two carriers</w:t>
      </w:r>
      <w:r>
        <w:rPr>
          <w:sz w:val="21"/>
          <w:szCs w:val="21"/>
        </w:rPr>
        <w:t>.</w:t>
      </w:r>
      <w:r>
        <w:rPr>
          <w:sz w:val="21"/>
          <w:szCs w:val="21"/>
          <w:lang w:val="en-US"/>
        </w:rPr>
        <w:t xml:space="preserve"> We listed the mapping </w:t>
      </w:r>
      <w:r>
        <w:t>between UL transmission ports and Tx chain</w:t>
      </w:r>
      <w:r>
        <w:rPr>
          <w:lang w:val="en-US"/>
        </w:rPr>
        <w:t>s</w:t>
      </w:r>
      <w:r>
        <w:rPr>
          <w:sz w:val="21"/>
          <w:szCs w:val="21"/>
          <w:lang w:val="en-US"/>
        </w:rPr>
        <w:t xml:space="preserve"> for UL Tx switching across 3 or 4 bands in UL CA scenarios as following.</w:t>
      </w:r>
    </w:p>
    <w:p>
      <w:pPr>
        <w:jc w:val="both"/>
        <w:rPr>
          <w:b/>
          <w:bCs/>
          <w:lang w:val="en-US"/>
        </w:rPr>
      </w:pPr>
      <w:r>
        <w:t xml:space="preserve">For 2Tx-2Tx switching </w:t>
      </w:r>
      <w:r>
        <w:rPr>
          <w:lang w:val="en-US"/>
        </w:rPr>
        <w:t>across 3</w:t>
      </w:r>
      <w:r>
        <w:t xml:space="preserve"> </w:t>
      </w:r>
      <w:r>
        <w:rPr>
          <w:lang w:val="en-US"/>
        </w:rPr>
        <w:t>bands</w:t>
      </w:r>
      <w:r>
        <w:t>, the mapping between UL transmission ports and Tx chain</w:t>
      </w:r>
      <w:r>
        <w:rPr>
          <w:lang w:val="en-US"/>
        </w:rPr>
        <w:t>s</w:t>
      </w:r>
      <w:r>
        <w:t xml:space="preserve"> for</w:t>
      </w:r>
      <w:r>
        <w:rPr>
          <w:lang w:val="en-US"/>
        </w:rPr>
        <w:t xml:space="preserve"> </w:t>
      </w:r>
      <w:r>
        <w:t xml:space="preserve">UL CA </w:t>
      </w:r>
      <w:r>
        <w:rPr>
          <w:lang w:val="en-US"/>
        </w:rPr>
        <w:t xml:space="preserve">option 1 </w:t>
      </w:r>
      <w:r>
        <w:rPr>
          <w:lang w:eastAsia="zh-CN"/>
        </w:rPr>
        <w:t>(</w:t>
      </w:r>
      <w:r>
        <w:rPr>
          <w:rFonts w:eastAsia="Times New Roman"/>
          <w:lang w:eastAsia="en-GB"/>
        </w:rPr>
        <w:t>switched</w:t>
      </w:r>
      <w:r>
        <w:rPr>
          <w:rFonts w:hint="default" w:eastAsia="Times New Roman"/>
          <w:lang w:val="en-US" w:eastAsia="en-GB"/>
        </w:rPr>
        <w:t xml:space="preserve"> </w:t>
      </w:r>
      <w:r>
        <w:rPr>
          <w:rFonts w:eastAsia="Times New Roman"/>
          <w:lang w:eastAsia="en-GB"/>
        </w:rPr>
        <w:t>UL</w:t>
      </w:r>
      <w:r>
        <w:rPr>
          <w:lang w:eastAsia="zh-CN"/>
        </w:rPr>
        <w:t>)</w:t>
      </w:r>
      <w:r>
        <w:rPr>
          <w:lang w:val="en-US" w:eastAsia="zh-CN"/>
        </w:rPr>
        <w:t xml:space="preserve"> </w:t>
      </w:r>
      <w:r>
        <w:rPr>
          <w:lang w:val="en-US"/>
        </w:rPr>
        <w:t>can be</w:t>
      </w:r>
      <w:r>
        <w:t xml:space="preserve"> defined as </w:t>
      </w:r>
      <w:r>
        <w:rPr>
          <w:lang w:val="en-US"/>
        </w:rPr>
        <w:t>in Table 1</w:t>
      </w:r>
      <w:r>
        <w:t>.</w:t>
      </w:r>
    </w:p>
    <w:p>
      <w:pPr>
        <w:jc w:val="center"/>
        <w:rPr>
          <w:b/>
          <w:bCs/>
          <w:lang w:val="en-US"/>
        </w:rPr>
      </w:pPr>
      <w:r>
        <w:rPr>
          <w:b/>
          <w:bCs/>
          <w:lang w:val="en-US"/>
        </w:rPr>
        <w:t xml:space="preserve">Table 1. </w:t>
      </w:r>
      <w:r>
        <w:rPr>
          <w:b/>
          <w:bCs/>
        </w:rPr>
        <w:t xml:space="preserve">2Tx-2Tx switching </w:t>
      </w:r>
      <w:r>
        <w:rPr>
          <w:b/>
          <w:bCs/>
          <w:lang w:val="en-US"/>
        </w:rPr>
        <w:t>across 3</w:t>
      </w:r>
      <w:r>
        <w:rPr>
          <w:b/>
          <w:bCs/>
        </w:rPr>
        <w:t xml:space="preserve"> </w:t>
      </w:r>
      <w:r>
        <w:rPr>
          <w:b/>
          <w:bCs/>
          <w:lang w:val="en-US"/>
        </w:rPr>
        <w:t>bands f</w:t>
      </w:r>
      <w:r>
        <w:rPr>
          <w:b/>
          <w:bCs/>
        </w:rPr>
        <w:t>or</w:t>
      </w:r>
      <w:r>
        <w:rPr>
          <w:b/>
          <w:bCs/>
          <w:lang w:val="en-US"/>
        </w:rPr>
        <w:t xml:space="preserve"> </w:t>
      </w:r>
      <w:r>
        <w:rPr>
          <w:b/>
          <w:bCs/>
        </w:rPr>
        <w:t xml:space="preserve">UL CA </w:t>
      </w:r>
      <w:r>
        <w:rPr>
          <w:b/>
          <w:bCs/>
          <w:lang w:val="en-US"/>
        </w:rPr>
        <w:t xml:space="preserve">option 1 </w:t>
      </w:r>
      <w:r>
        <w:rPr>
          <w:b/>
          <w:bCs/>
          <w:lang w:eastAsia="zh-CN"/>
        </w:rPr>
        <w:t>(</w:t>
      </w:r>
      <w:r>
        <w:rPr>
          <w:rFonts w:eastAsia="Times New Roman"/>
          <w:b/>
          <w:bCs/>
          <w:iCs/>
          <w:lang w:eastAsia="en-GB"/>
        </w:rPr>
        <w:t>switched</w:t>
      </w:r>
      <w:r>
        <w:rPr>
          <w:rFonts w:hint="default" w:eastAsia="Times New Roman"/>
          <w:b/>
          <w:bCs/>
          <w:iCs/>
          <w:lang w:val="en-US" w:eastAsia="en-GB"/>
        </w:rPr>
        <w:t xml:space="preserve"> </w:t>
      </w:r>
      <w:r>
        <w:rPr>
          <w:rFonts w:eastAsia="Times New Roman"/>
          <w:b/>
          <w:bCs/>
          <w:iCs/>
          <w:lang w:eastAsia="en-GB"/>
        </w:rPr>
        <w:t>UL</w:t>
      </w:r>
      <w:r>
        <w:rPr>
          <w:b/>
          <w:bCs/>
          <w:lang w:eastAsia="zh-CN"/>
        </w:rPr>
        <w:t>)</w:t>
      </w:r>
    </w:p>
    <w:tbl>
      <w:tblPr>
        <w:tblStyle w:val="49"/>
        <w:tblW w:w="932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1200"/>
        <w:gridCol w:w="3125"/>
        <w:gridCol w:w="500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2" w:hRule="atLeast"/>
          <w:jc w:val="center"/>
        </w:trPr>
        <w:tc>
          <w:tcPr>
            <w:tcW w:w="1200" w:type="dxa"/>
            <w:tcBorders>
              <w:tl2br w:val="nil"/>
              <w:tr2bl w:val="nil"/>
            </w:tcBorders>
            <w:tcMar>
              <w:top w:w="0" w:type="dxa"/>
              <w:left w:w="108" w:type="dxa"/>
              <w:bottom w:w="0" w:type="dxa"/>
              <w:right w:w="108" w:type="dxa"/>
            </w:tcMar>
            <w:vAlign w:val="center"/>
          </w:tcPr>
          <w:p>
            <w:pPr>
              <w:pStyle w:val="44"/>
              <w:spacing w:before="0" w:beforeAutospacing="0" w:after="120" w:afterAutospacing="0"/>
              <w:jc w:val="center"/>
              <w:rPr>
                <w:sz w:val="20"/>
                <w:szCs w:val="20"/>
              </w:rPr>
            </w:pPr>
            <w:r>
              <w:rPr>
                <w:color w:val="000000"/>
                <w:sz w:val="20"/>
                <w:szCs w:val="20"/>
                <w:lang w:val="en-GB"/>
              </w:rPr>
              <w:t> </w:t>
            </w:r>
          </w:p>
        </w:tc>
        <w:tc>
          <w:tcPr>
            <w:tcW w:w="3125" w:type="dxa"/>
            <w:tcBorders>
              <w:tl2br w:val="nil"/>
              <w:tr2bl w:val="nil"/>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pPr>
              <w:pStyle w:val="44"/>
              <w:spacing w:before="0" w:beforeAutospacing="0" w:after="120" w:afterAutospacing="0"/>
              <w:jc w:val="center"/>
              <w:rPr>
                <w:sz w:val="20"/>
                <w:szCs w:val="20"/>
              </w:rPr>
            </w:pPr>
            <w:r>
              <w:rPr>
                <w:color w:val="000000"/>
                <w:sz w:val="20"/>
                <w:szCs w:val="20"/>
                <w:lang w:val="en-GB"/>
              </w:rPr>
              <w:t>(band A+band B</w:t>
            </w:r>
            <w:r>
              <w:rPr>
                <w:color w:val="000000"/>
                <w:sz w:val="20"/>
                <w:szCs w:val="20"/>
              </w:rPr>
              <w:t>+band C</w:t>
            </w:r>
            <w:r>
              <w:rPr>
                <w:color w:val="000000"/>
                <w:sz w:val="20"/>
                <w:szCs w:val="20"/>
                <w:lang w:val="en-GB"/>
              </w:rPr>
              <w:t>)</w:t>
            </w:r>
          </w:p>
        </w:tc>
        <w:tc>
          <w:tcPr>
            <w:tcW w:w="5001" w:type="dxa"/>
            <w:tcBorders>
              <w:tl2br w:val="nil"/>
              <w:tr2bl w:val="nil"/>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pPr>
              <w:pStyle w:val="44"/>
              <w:spacing w:before="0" w:beforeAutospacing="0" w:after="120" w:afterAutospacing="0"/>
              <w:jc w:val="center"/>
              <w:rPr>
                <w:sz w:val="20"/>
                <w:szCs w:val="20"/>
              </w:rPr>
            </w:pPr>
            <w:r>
              <w:rPr>
                <w:color w:val="000000"/>
                <w:sz w:val="20"/>
                <w:szCs w:val="20"/>
                <w:lang w:val="en-GB"/>
              </w:rPr>
              <w:t xml:space="preserve">(band A+band </w:t>
            </w:r>
            <w:r>
              <w:rPr>
                <w:color w:val="000000"/>
                <w:sz w:val="20"/>
                <w:szCs w:val="20"/>
              </w:rPr>
              <w:t>B</w:t>
            </w:r>
            <w:r>
              <w:rPr>
                <w:color w:val="000000"/>
                <w:sz w:val="20"/>
                <w:szCs w:val="20"/>
                <w:lang w:val="en-GB"/>
              </w:rPr>
              <w:t>+</w:t>
            </w:r>
            <w:r>
              <w:rPr>
                <w:color w:val="000000"/>
                <w:sz w:val="20"/>
                <w:szCs w:val="20"/>
              </w:rPr>
              <w:t>band C</w:t>
            </w:r>
            <w:r>
              <w:rPr>
                <w:color w:val="000000"/>
                <w:sz w:val="20"/>
                <w:szCs w:val="20"/>
                <w:lang w:val="en-GB"/>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40" w:hRule="atLeast"/>
          <w:jc w:val="center"/>
        </w:trPr>
        <w:tc>
          <w:tcPr>
            <w:tcW w:w="1200"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1</w:t>
            </w:r>
          </w:p>
        </w:tc>
        <w:tc>
          <w:tcPr>
            <w:tcW w:w="3125"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w:t>
            </w:r>
          </w:p>
        </w:tc>
        <w:tc>
          <w:tcPr>
            <w:tcW w:w="5001"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1"/>
                <w:szCs w:val="21"/>
              </w:rPr>
              <w:t>2P+0P+0P, 1P+0P+0P</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40" w:hRule="atLeast"/>
          <w:jc w:val="center"/>
        </w:trPr>
        <w:tc>
          <w:tcPr>
            <w:tcW w:w="1200"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2</w:t>
            </w:r>
          </w:p>
        </w:tc>
        <w:tc>
          <w:tcPr>
            <w:tcW w:w="3125"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0T+2T+0T</w:t>
            </w:r>
          </w:p>
        </w:tc>
        <w:tc>
          <w:tcPr>
            <w:tcW w:w="5001"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color w:val="000000"/>
                <w:sz w:val="20"/>
                <w:szCs w:val="20"/>
                <w:lang w:val="en-GB"/>
              </w:rPr>
              <w:t>0P+2P+0P, 0P+1P+0P</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40" w:hRule="atLeast"/>
          <w:jc w:val="center"/>
        </w:trPr>
        <w:tc>
          <w:tcPr>
            <w:tcW w:w="1200"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Case 3</w:t>
            </w:r>
          </w:p>
        </w:tc>
        <w:tc>
          <w:tcPr>
            <w:tcW w:w="3125"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0T+0T+2T</w:t>
            </w:r>
          </w:p>
        </w:tc>
        <w:tc>
          <w:tcPr>
            <w:tcW w:w="5001"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rFonts w:eastAsia="微软雅黑"/>
                <w:color w:val="000000"/>
                <w:kern w:val="24"/>
                <w:sz w:val="21"/>
                <w:szCs w:val="21"/>
              </w:rPr>
              <w:t>0P</w:t>
            </w:r>
            <w:r>
              <w:rPr>
                <w:rFonts w:hint="eastAsia" w:eastAsia="微软雅黑"/>
                <w:color w:val="000000"/>
                <w:kern w:val="24"/>
                <w:sz w:val="21"/>
                <w:szCs w:val="21"/>
              </w:rPr>
              <w:t>+0P</w:t>
            </w:r>
            <w:r>
              <w:rPr>
                <w:rFonts w:eastAsia="微软雅黑"/>
                <w:color w:val="000000"/>
                <w:kern w:val="24"/>
                <w:sz w:val="21"/>
                <w:szCs w:val="21"/>
              </w:rPr>
              <w:t>+2P, 0P+0P+1P</w:t>
            </w:r>
          </w:p>
        </w:tc>
      </w:tr>
    </w:tbl>
    <w:p>
      <w:pPr>
        <w:numPr>
          <w:ilvl w:val="0"/>
          <w:numId w:val="8"/>
        </w:numPr>
        <w:ind w:left="563" w:leftChars="100" w:hanging="363"/>
        <w:contextualSpacing/>
        <w:jc w:val="both"/>
        <w:textAlignment w:val="baseline"/>
      </w:pPr>
      <w:r>
        <w:t xml:space="preserve">For 2Tx-2Tx switching </w:t>
      </w:r>
      <w:r>
        <w:rPr>
          <w:lang w:val="en-US"/>
        </w:rPr>
        <w:t>across 3</w:t>
      </w:r>
      <w:r>
        <w:t xml:space="preserve"> </w:t>
      </w:r>
      <w:r>
        <w:rPr>
          <w:lang w:val="en-US"/>
        </w:rPr>
        <w:t>bands</w:t>
      </w:r>
      <w:r>
        <w:t>, the mapping between UL transmission ports and Tx chain</w:t>
      </w:r>
      <w:r>
        <w:rPr>
          <w:lang w:val="en-US"/>
        </w:rPr>
        <w:t>s</w:t>
      </w:r>
      <w:r>
        <w:t xml:space="preserve"> for</w:t>
      </w:r>
      <w:r>
        <w:rPr>
          <w:lang w:val="en-US"/>
        </w:rPr>
        <w:t xml:space="preserve"> </w:t>
      </w:r>
      <w:r>
        <w:t xml:space="preserve">UL CA </w:t>
      </w:r>
      <w:r>
        <w:rPr>
          <w:lang w:val="en-US"/>
        </w:rPr>
        <w:t>option 2</w:t>
      </w:r>
      <w:r>
        <w:t xml:space="preserve"> </w:t>
      </w:r>
      <w:r>
        <w:rPr>
          <w:lang w:eastAsia="zh-CN"/>
        </w:rPr>
        <w:t>(</w:t>
      </w:r>
      <w:r>
        <w:rPr>
          <w:rFonts w:eastAsia="Times New Roman"/>
          <w:iCs/>
          <w:lang w:eastAsia="en-GB"/>
        </w:rPr>
        <w:t>dual</w:t>
      </w:r>
      <w:r>
        <w:rPr>
          <w:rFonts w:hint="default" w:eastAsia="Times New Roman"/>
          <w:iCs/>
          <w:lang w:val="en-US" w:eastAsia="en-GB"/>
        </w:rPr>
        <w:t xml:space="preserve"> </w:t>
      </w:r>
      <w:r>
        <w:rPr>
          <w:rFonts w:eastAsia="Times New Roman"/>
          <w:iCs/>
          <w:lang w:eastAsia="en-GB"/>
        </w:rPr>
        <w:t>UL</w:t>
      </w:r>
      <w:r>
        <w:rPr>
          <w:lang w:eastAsia="zh-CN"/>
        </w:rPr>
        <w:t>)</w:t>
      </w:r>
      <w:r>
        <w:rPr>
          <w:b/>
          <w:bCs/>
          <w:lang w:val="en-US" w:eastAsia="zh-CN"/>
        </w:rPr>
        <w:t xml:space="preserve"> </w:t>
      </w:r>
      <w:r>
        <w:rPr>
          <w:lang w:val="en-US"/>
        </w:rPr>
        <w:t>can be</w:t>
      </w:r>
      <w:r>
        <w:t xml:space="preserve"> defined as </w:t>
      </w:r>
      <w:r>
        <w:rPr>
          <w:lang w:val="en-US"/>
        </w:rPr>
        <w:t>in Table 2</w:t>
      </w:r>
      <w:r>
        <w:t>.</w:t>
      </w:r>
    </w:p>
    <w:p>
      <w:pPr>
        <w:numPr>
          <w:numId w:val="0"/>
        </w:numPr>
        <w:contextualSpacing/>
        <w:jc w:val="both"/>
        <w:textAlignment w:val="baseline"/>
      </w:pPr>
    </w:p>
    <w:p>
      <w:pPr>
        <w:jc w:val="center"/>
        <w:rPr>
          <w:b/>
          <w:bCs/>
          <w:lang w:val="en-US"/>
        </w:rPr>
      </w:pPr>
      <w:r>
        <w:rPr>
          <w:b/>
          <w:bCs/>
          <w:lang w:val="en-US"/>
        </w:rPr>
        <w:t xml:space="preserve">Table 2. </w:t>
      </w:r>
      <w:r>
        <w:rPr>
          <w:b/>
          <w:bCs/>
        </w:rPr>
        <w:t xml:space="preserve">2Tx-2Tx switching </w:t>
      </w:r>
      <w:r>
        <w:rPr>
          <w:b/>
          <w:bCs/>
          <w:lang w:val="en-US"/>
        </w:rPr>
        <w:t>across 3</w:t>
      </w:r>
      <w:r>
        <w:rPr>
          <w:b/>
          <w:bCs/>
        </w:rPr>
        <w:t xml:space="preserve"> </w:t>
      </w:r>
      <w:r>
        <w:rPr>
          <w:b/>
          <w:bCs/>
          <w:lang w:val="en-US"/>
        </w:rPr>
        <w:t>bands f</w:t>
      </w:r>
      <w:r>
        <w:rPr>
          <w:b/>
          <w:bCs/>
        </w:rPr>
        <w:t>or</w:t>
      </w:r>
      <w:r>
        <w:rPr>
          <w:b/>
          <w:bCs/>
          <w:lang w:val="en-US"/>
        </w:rPr>
        <w:t xml:space="preserve"> </w:t>
      </w:r>
      <w:r>
        <w:rPr>
          <w:b/>
          <w:bCs/>
        </w:rPr>
        <w:t xml:space="preserve">UL CA </w:t>
      </w:r>
      <w:r>
        <w:rPr>
          <w:b/>
          <w:bCs/>
          <w:lang w:val="en-US"/>
        </w:rPr>
        <w:t>option 2</w:t>
      </w:r>
      <w:r>
        <w:rPr>
          <w:b/>
          <w:bCs/>
          <w:lang w:eastAsia="zh-CN"/>
        </w:rPr>
        <w:t xml:space="preserve"> (</w:t>
      </w:r>
      <w:r>
        <w:rPr>
          <w:rFonts w:eastAsia="Times New Roman"/>
          <w:b/>
          <w:bCs/>
          <w:iCs/>
          <w:lang w:eastAsia="en-GB"/>
        </w:rPr>
        <w:t>dual</w:t>
      </w:r>
      <w:r>
        <w:rPr>
          <w:rFonts w:hint="default" w:eastAsia="Times New Roman"/>
          <w:b/>
          <w:bCs/>
          <w:iCs/>
          <w:lang w:val="en-US" w:eastAsia="en-GB"/>
        </w:rPr>
        <w:t xml:space="preserve"> </w:t>
      </w:r>
      <w:r>
        <w:rPr>
          <w:rFonts w:eastAsia="Times New Roman"/>
          <w:b/>
          <w:bCs/>
          <w:iCs/>
          <w:lang w:eastAsia="en-GB"/>
        </w:rPr>
        <w:t>UL</w:t>
      </w:r>
      <w:r>
        <w:rPr>
          <w:b/>
          <w:bCs/>
          <w:lang w:eastAsia="zh-CN"/>
        </w:rPr>
        <w:t>)</w:t>
      </w:r>
    </w:p>
    <w:tbl>
      <w:tblPr>
        <w:tblStyle w:val="49"/>
        <w:tblW w:w="9326" w:type="dxa"/>
        <w:jc w:val="center"/>
        <w:tblLayout w:type="autofit"/>
        <w:tblCellMar>
          <w:top w:w="0" w:type="dxa"/>
          <w:left w:w="0" w:type="dxa"/>
          <w:bottom w:w="0" w:type="dxa"/>
          <w:right w:w="0" w:type="dxa"/>
        </w:tblCellMar>
      </w:tblPr>
      <w:tblGrid>
        <w:gridCol w:w="1200"/>
        <w:gridCol w:w="3125"/>
        <w:gridCol w:w="5001"/>
      </w:tblGrid>
      <w:tr>
        <w:tblPrEx>
          <w:tblCellMar>
            <w:top w:w="0" w:type="dxa"/>
            <w:left w:w="0" w:type="dxa"/>
            <w:bottom w:w="0" w:type="dxa"/>
            <w:right w:w="0" w:type="dxa"/>
          </w:tblCellMar>
        </w:tblPrEx>
        <w:trPr>
          <w:trHeight w:val="885"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sz w:val="20"/>
                <w:szCs w:val="20"/>
              </w:rPr>
            </w:pPr>
            <w:r>
              <w:rPr>
                <w:color w:val="000000"/>
                <w:sz w:val="20"/>
                <w:szCs w:val="20"/>
                <w:lang w:val="en-GB"/>
              </w:rPr>
              <w:t> </w:t>
            </w:r>
          </w:p>
        </w:tc>
        <w:tc>
          <w:tcPr>
            <w:tcW w:w="312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pPr>
              <w:pStyle w:val="44"/>
              <w:spacing w:before="0" w:beforeAutospacing="0" w:after="120" w:afterAutospacing="0"/>
              <w:jc w:val="center"/>
              <w:rPr>
                <w:sz w:val="20"/>
                <w:szCs w:val="20"/>
              </w:rPr>
            </w:pPr>
            <w:r>
              <w:rPr>
                <w:color w:val="000000"/>
                <w:sz w:val="20"/>
                <w:szCs w:val="20"/>
                <w:lang w:val="en-GB"/>
              </w:rPr>
              <w:t>(band A+band B</w:t>
            </w:r>
            <w:r>
              <w:rPr>
                <w:color w:val="000000"/>
                <w:sz w:val="20"/>
                <w:szCs w:val="20"/>
              </w:rPr>
              <w:t>+band C</w:t>
            </w:r>
            <w:r>
              <w:rPr>
                <w:color w:val="000000"/>
                <w:sz w:val="20"/>
                <w:szCs w:val="20"/>
                <w:lang w:val="en-GB"/>
              </w:rPr>
              <w:t>)</w:t>
            </w:r>
          </w:p>
        </w:tc>
        <w:tc>
          <w:tcPr>
            <w:tcW w:w="50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pPr>
              <w:pStyle w:val="44"/>
              <w:spacing w:before="0" w:beforeAutospacing="0" w:after="120" w:afterAutospacing="0"/>
              <w:jc w:val="center"/>
              <w:rPr>
                <w:sz w:val="20"/>
                <w:szCs w:val="20"/>
              </w:rPr>
            </w:pPr>
            <w:r>
              <w:rPr>
                <w:color w:val="000000"/>
                <w:sz w:val="20"/>
                <w:szCs w:val="20"/>
                <w:lang w:val="en-GB"/>
              </w:rPr>
              <w:t xml:space="preserve">(band A+band </w:t>
            </w:r>
            <w:r>
              <w:rPr>
                <w:color w:val="000000"/>
                <w:sz w:val="20"/>
                <w:szCs w:val="20"/>
              </w:rPr>
              <w:t>B</w:t>
            </w:r>
            <w:r>
              <w:rPr>
                <w:color w:val="000000"/>
                <w:sz w:val="20"/>
                <w:szCs w:val="20"/>
                <w:lang w:val="en-GB"/>
              </w:rPr>
              <w:t>+</w:t>
            </w:r>
            <w:r>
              <w:rPr>
                <w:color w:val="000000"/>
                <w:sz w:val="20"/>
                <w:szCs w:val="20"/>
              </w:rPr>
              <w:t>band C</w:t>
            </w:r>
            <w:r>
              <w:rPr>
                <w:color w:val="000000"/>
                <w:sz w:val="20"/>
                <w:szCs w:val="20"/>
                <w:lang w:val="en-GB"/>
              </w:rPr>
              <w:t>)</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1</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2P+0P+0P, 1P+0P+0P</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Case 2</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0T+2T</w:t>
            </w:r>
            <w:r>
              <w:rPr>
                <w:color w:val="000000"/>
                <w:sz w:val="20"/>
                <w:szCs w:val="20"/>
              </w:rPr>
              <w: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 xml:space="preserve">0P+2P+0P, 0P+1P+0P </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Case 3</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0T+0T+2T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eastAsia="微软雅黑"/>
                <w:color w:val="000000"/>
                <w:kern w:val="24"/>
                <w:sz w:val="20"/>
                <w:szCs w:val="20"/>
              </w:rPr>
              <w:t>0P</w:t>
            </w:r>
            <w:r>
              <w:rPr>
                <w:rFonts w:hint="eastAsia" w:eastAsia="微软雅黑"/>
                <w:color w:val="000000"/>
                <w:kern w:val="24"/>
                <w:sz w:val="20"/>
                <w:szCs w:val="20"/>
              </w:rPr>
              <w:t>+0P</w:t>
            </w:r>
            <w:r>
              <w:rPr>
                <w:rFonts w:eastAsia="微软雅黑"/>
                <w:color w:val="000000"/>
                <w:kern w:val="24"/>
                <w:sz w:val="20"/>
                <w:szCs w:val="20"/>
              </w:rPr>
              <w:t>+2P, 0P+0P+1P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4</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1T+1T+0T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1P+0P+0P, 1P+1P+0P, 0P+1P+0P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5</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1T+0T+1T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1P+0P+0P, 1P+0P+1P, 0P+0P+1P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6</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0T+1T+1T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0P+1P+0P, 0P+1P+1P, 0P+0P+1P</w:t>
            </w:r>
          </w:p>
        </w:tc>
      </w:tr>
    </w:tbl>
    <w:p>
      <w:pPr>
        <w:keepNext w:val="0"/>
        <w:keepLines w:val="0"/>
        <w:pageBreakBefore w:val="0"/>
        <w:widowControl/>
        <w:numPr>
          <w:ilvl w:val="0"/>
          <w:numId w:val="8"/>
        </w:numPr>
        <w:kinsoku/>
        <w:wordWrap/>
        <w:overflowPunct/>
        <w:topLinePunct w:val="0"/>
        <w:autoSpaceDE/>
        <w:autoSpaceDN/>
        <w:bidi w:val="0"/>
        <w:adjustRightInd/>
        <w:snapToGrid/>
        <w:ind w:left="563" w:leftChars="100" w:hanging="363"/>
        <w:contextualSpacing/>
        <w:jc w:val="both"/>
        <w:textAlignment w:val="baseline"/>
      </w:pPr>
      <w:r>
        <w:t xml:space="preserve">For 2Tx-2Tx switching </w:t>
      </w:r>
      <w:r>
        <w:rPr>
          <w:lang w:val="en-US"/>
        </w:rPr>
        <w:t>across 4</w:t>
      </w:r>
      <w:r>
        <w:t xml:space="preserve"> </w:t>
      </w:r>
      <w:r>
        <w:rPr>
          <w:lang w:val="en-US"/>
        </w:rPr>
        <w:t>bands</w:t>
      </w:r>
      <w:r>
        <w:t>, the mapping between UL transmission ports and Tx chain</w:t>
      </w:r>
      <w:r>
        <w:rPr>
          <w:lang w:val="en-US"/>
        </w:rPr>
        <w:t>s</w:t>
      </w:r>
      <w:r>
        <w:t xml:space="preserve"> for</w:t>
      </w:r>
      <w:r>
        <w:rPr>
          <w:lang w:val="en-US"/>
        </w:rPr>
        <w:t xml:space="preserve"> </w:t>
      </w:r>
      <w:r>
        <w:t xml:space="preserve">UL CA </w:t>
      </w:r>
      <w:r>
        <w:rPr>
          <w:lang w:val="en-US"/>
        </w:rPr>
        <w:t xml:space="preserve">option 1 </w:t>
      </w:r>
      <w:r>
        <w:rPr>
          <w:rFonts w:hint="default"/>
          <w:lang w:val="en-US"/>
        </w:rPr>
        <w:t xml:space="preserve">(switched UL) </w:t>
      </w:r>
      <w:r>
        <w:rPr>
          <w:lang w:val="en-US"/>
        </w:rPr>
        <w:t>can be</w:t>
      </w:r>
      <w:r>
        <w:t xml:space="preserve"> defined as </w:t>
      </w:r>
      <w:r>
        <w:rPr>
          <w:lang w:val="en-US"/>
        </w:rPr>
        <w:t>in Table 3</w:t>
      </w:r>
      <w:r>
        <w:t>.</w:t>
      </w:r>
    </w:p>
    <w:p>
      <w:pPr>
        <w:keepNext w:val="0"/>
        <w:keepLines w:val="0"/>
        <w:pageBreakBefore w:val="0"/>
        <w:widowControl/>
        <w:numPr>
          <w:ilvl w:val="0"/>
          <w:numId w:val="0"/>
        </w:numPr>
        <w:kinsoku/>
        <w:wordWrap/>
        <w:overflowPunct/>
        <w:topLinePunct w:val="0"/>
        <w:autoSpaceDE/>
        <w:autoSpaceDN/>
        <w:bidi w:val="0"/>
        <w:adjustRightInd/>
        <w:snapToGrid/>
        <w:ind w:leftChars="100"/>
        <w:contextualSpacing/>
        <w:jc w:val="both"/>
        <w:textAlignment w:val="baseline"/>
      </w:pPr>
    </w:p>
    <w:p>
      <w:pPr>
        <w:keepNext w:val="0"/>
        <w:keepLines w:val="0"/>
        <w:pageBreakBefore w:val="0"/>
        <w:widowControl/>
        <w:kinsoku/>
        <w:wordWrap/>
        <w:overflowPunct/>
        <w:topLinePunct w:val="0"/>
        <w:autoSpaceDE/>
        <w:autoSpaceDN/>
        <w:bidi w:val="0"/>
        <w:adjustRightInd/>
        <w:snapToGrid/>
        <w:jc w:val="center"/>
        <w:textAlignment w:val="auto"/>
        <w:rPr>
          <w:b/>
          <w:bCs/>
          <w:lang w:val="en-US"/>
        </w:rPr>
      </w:pPr>
      <w:r>
        <w:rPr>
          <w:b/>
          <w:bCs/>
          <w:lang w:val="en-US"/>
        </w:rPr>
        <w:t xml:space="preserve">Table 3. </w:t>
      </w:r>
      <w:r>
        <w:rPr>
          <w:b/>
          <w:bCs/>
        </w:rPr>
        <w:t xml:space="preserve">2Tx-2Tx switching </w:t>
      </w:r>
      <w:r>
        <w:rPr>
          <w:b/>
          <w:bCs/>
          <w:lang w:val="en-US"/>
        </w:rPr>
        <w:t>across 4</w:t>
      </w:r>
      <w:r>
        <w:rPr>
          <w:b/>
          <w:bCs/>
        </w:rPr>
        <w:t xml:space="preserve"> </w:t>
      </w:r>
      <w:r>
        <w:rPr>
          <w:b/>
          <w:bCs/>
          <w:lang w:val="en-US"/>
        </w:rPr>
        <w:t>bands f</w:t>
      </w:r>
      <w:r>
        <w:rPr>
          <w:b/>
          <w:bCs/>
        </w:rPr>
        <w:t>or</w:t>
      </w:r>
      <w:r>
        <w:rPr>
          <w:b/>
          <w:bCs/>
          <w:lang w:val="en-US"/>
        </w:rPr>
        <w:t xml:space="preserve"> </w:t>
      </w:r>
      <w:r>
        <w:rPr>
          <w:b/>
          <w:bCs/>
        </w:rPr>
        <w:t xml:space="preserve">UL CA </w:t>
      </w:r>
      <w:r>
        <w:rPr>
          <w:b/>
          <w:bCs/>
          <w:lang w:val="en-US"/>
        </w:rPr>
        <w:t xml:space="preserve">option 1 </w:t>
      </w:r>
      <w:r>
        <w:rPr>
          <w:b/>
          <w:bCs/>
          <w:lang w:eastAsia="zh-CN"/>
        </w:rPr>
        <w:t>(</w:t>
      </w:r>
      <w:r>
        <w:rPr>
          <w:rFonts w:eastAsia="Times New Roman"/>
          <w:b/>
          <w:bCs/>
          <w:iCs/>
          <w:lang w:eastAsia="en-GB"/>
        </w:rPr>
        <w:t>switched</w:t>
      </w:r>
      <w:r>
        <w:rPr>
          <w:rFonts w:hint="default" w:eastAsia="Times New Roman"/>
          <w:b/>
          <w:bCs/>
          <w:iCs/>
          <w:lang w:val="en-US" w:eastAsia="en-GB"/>
        </w:rPr>
        <w:t xml:space="preserve"> </w:t>
      </w:r>
      <w:r>
        <w:rPr>
          <w:rFonts w:eastAsia="Times New Roman"/>
          <w:b/>
          <w:bCs/>
          <w:iCs/>
          <w:lang w:eastAsia="en-GB"/>
        </w:rPr>
        <w:t>UL</w:t>
      </w:r>
      <w:r>
        <w:rPr>
          <w:b/>
          <w:bCs/>
          <w:lang w:eastAsia="zh-CN"/>
        </w:rPr>
        <w:t>)</w:t>
      </w:r>
    </w:p>
    <w:tbl>
      <w:tblPr>
        <w:tblStyle w:val="49"/>
        <w:tblW w:w="9326" w:type="dxa"/>
        <w:jc w:val="center"/>
        <w:tblLayout w:type="autofit"/>
        <w:tblCellMar>
          <w:top w:w="0" w:type="dxa"/>
          <w:left w:w="0" w:type="dxa"/>
          <w:bottom w:w="0" w:type="dxa"/>
          <w:right w:w="0" w:type="dxa"/>
        </w:tblCellMar>
      </w:tblPr>
      <w:tblGrid>
        <w:gridCol w:w="1200"/>
        <w:gridCol w:w="3125"/>
        <w:gridCol w:w="5001"/>
      </w:tblGrid>
      <w:tr>
        <w:tblPrEx>
          <w:tblCellMar>
            <w:top w:w="0" w:type="dxa"/>
            <w:left w:w="0" w:type="dxa"/>
            <w:bottom w:w="0" w:type="dxa"/>
            <w:right w:w="0" w:type="dxa"/>
          </w:tblCellMar>
        </w:tblPrEx>
        <w:trPr>
          <w:trHeight w:val="885"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sz w:val="20"/>
                <w:szCs w:val="20"/>
              </w:rPr>
            </w:pPr>
            <w:r>
              <w:rPr>
                <w:color w:val="000000"/>
                <w:sz w:val="20"/>
                <w:szCs w:val="20"/>
                <w:lang w:val="en-GB"/>
              </w:rPr>
              <w:t> </w:t>
            </w:r>
          </w:p>
        </w:tc>
        <w:tc>
          <w:tcPr>
            <w:tcW w:w="312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pPr>
              <w:pStyle w:val="44"/>
              <w:spacing w:before="0" w:beforeAutospacing="0" w:after="120" w:afterAutospacing="0"/>
              <w:jc w:val="center"/>
              <w:rPr>
                <w:sz w:val="20"/>
                <w:szCs w:val="20"/>
              </w:rPr>
            </w:pPr>
            <w:r>
              <w:rPr>
                <w:color w:val="000000"/>
                <w:sz w:val="20"/>
                <w:szCs w:val="20"/>
                <w:lang w:val="en-GB"/>
              </w:rPr>
              <w:t>(band A+band B</w:t>
            </w:r>
            <w:r>
              <w:rPr>
                <w:color w:val="000000"/>
                <w:sz w:val="20"/>
                <w:szCs w:val="20"/>
              </w:rPr>
              <w:t>+band C+band D</w:t>
            </w:r>
            <w:r>
              <w:rPr>
                <w:color w:val="000000"/>
                <w:sz w:val="20"/>
                <w:szCs w:val="20"/>
                <w:lang w:val="en-GB"/>
              </w:rPr>
              <w:t>)</w:t>
            </w:r>
          </w:p>
        </w:tc>
        <w:tc>
          <w:tcPr>
            <w:tcW w:w="50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pPr>
              <w:pStyle w:val="44"/>
              <w:spacing w:before="0" w:beforeAutospacing="0" w:after="120" w:afterAutospacing="0"/>
              <w:jc w:val="center"/>
              <w:rPr>
                <w:sz w:val="20"/>
                <w:szCs w:val="20"/>
              </w:rPr>
            </w:pPr>
            <w:r>
              <w:rPr>
                <w:color w:val="000000"/>
                <w:sz w:val="20"/>
                <w:szCs w:val="20"/>
                <w:lang w:val="en-GB"/>
              </w:rPr>
              <w:t xml:space="preserve">(band A+band </w:t>
            </w:r>
            <w:r>
              <w:rPr>
                <w:color w:val="000000"/>
                <w:sz w:val="20"/>
                <w:szCs w:val="20"/>
              </w:rPr>
              <w:t>B</w:t>
            </w:r>
            <w:r>
              <w:rPr>
                <w:color w:val="000000"/>
                <w:sz w:val="20"/>
                <w:szCs w:val="20"/>
                <w:lang w:val="en-GB"/>
              </w:rPr>
              <w:t xml:space="preserve"> +</w:t>
            </w:r>
            <w:r>
              <w:rPr>
                <w:color w:val="000000"/>
                <w:sz w:val="20"/>
                <w:szCs w:val="20"/>
              </w:rPr>
              <w:t>band C+band D</w:t>
            </w:r>
            <w:r>
              <w:rPr>
                <w:color w:val="000000"/>
                <w:sz w:val="20"/>
                <w:szCs w:val="20"/>
                <w:lang w:val="en-GB"/>
              </w:rPr>
              <w:t>)</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1</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1"/>
                <w:szCs w:val="21"/>
              </w:rPr>
              <w:t>2P+0P+0P+0P, 1P+0P+0P+0P</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Case 2</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0T+2T</w:t>
            </w:r>
            <w:r>
              <w:rPr>
                <w:color w:val="000000"/>
                <w:sz w:val="20"/>
                <w:szCs w:val="20"/>
              </w:rPr>
              <w:t>+0T+0T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1"/>
                <w:szCs w:val="21"/>
              </w:rPr>
              <w:t xml:space="preserve">0P+2P+0P+0P, 0P+1P+0P+0P </w:t>
            </w:r>
          </w:p>
        </w:tc>
      </w:tr>
      <w:tr>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Case 3</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0T+0T+2T+0T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rFonts w:eastAsia="微软雅黑"/>
                <w:color w:val="000000"/>
                <w:kern w:val="24"/>
                <w:sz w:val="21"/>
                <w:szCs w:val="21"/>
              </w:rPr>
              <w:t>0P</w:t>
            </w:r>
            <w:r>
              <w:rPr>
                <w:rFonts w:hint="eastAsia" w:eastAsia="微软雅黑"/>
                <w:color w:val="000000"/>
                <w:kern w:val="24"/>
                <w:sz w:val="21"/>
                <w:szCs w:val="21"/>
              </w:rPr>
              <w:t>+0P</w:t>
            </w:r>
            <w:r>
              <w:rPr>
                <w:rFonts w:eastAsia="微软雅黑"/>
                <w:color w:val="000000"/>
                <w:kern w:val="24"/>
                <w:sz w:val="21"/>
                <w:szCs w:val="21"/>
              </w:rPr>
              <w:t>+2P</w:t>
            </w:r>
            <w:r>
              <w:rPr>
                <w:rFonts w:hint="eastAsia" w:eastAsia="微软雅黑"/>
                <w:color w:val="000000"/>
                <w:kern w:val="24"/>
                <w:sz w:val="21"/>
                <w:szCs w:val="21"/>
              </w:rPr>
              <w:t>+0P</w:t>
            </w:r>
            <w:r>
              <w:rPr>
                <w:rFonts w:eastAsia="微软雅黑"/>
                <w:color w:val="000000"/>
                <w:kern w:val="24"/>
                <w:sz w:val="21"/>
                <w:szCs w:val="21"/>
              </w:rPr>
              <w:t>, 0P+0P+1P</w:t>
            </w:r>
            <w:r>
              <w:rPr>
                <w:rFonts w:hint="eastAsia" w:eastAsia="微软雅黑"/>
                <w:color w:val="000000"/>
                <w:kern w:val="24"/>
                <w:sz w:val="21"/>
                <w:szCs w:val="21"/>
              </w:rPr>
              <w:t>+0P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4</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0T+0T+0T+2T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1"/>
                <w:szCs w:val="21"/>
              </w:rPr>
            </w:pPr>
            <w:r>
              <w:rPr>
                <w:rFonts w:eastAsia="微软雅黑"/>
                <w:color w:val="000000"/>
                <w:kern w:val="24"/>
                <w:sz w:val="21"/>
                <w:szCs w:val="21"/>
              </w:rPr>
              <w:t>0P+0P</w:t>
            </w:r>
            <w:r>
              <w:rPr>
                <w:rFonts w:hint="eastAsia" w:eastAsia="微软雅黑"/>
                <w:color w:val="000000"/>
                <w:kern w:val="24"/>
                <w:sz w:val="21"/>
                <w:szCs w:val="21"/>
              </w:rPr>
              <w:t>+0P</w:t>
            </w:r>
            <w:r>
              <w:rPr>
                <w:rFonts w:eastAsia="微软雅黑"/>
                <w:color w:val="000000"/>
                <w:kern w:val="24"/>
                <w:sz w:val="21"/>
                <w:szCs w:val="21"/>
              </w:rPr>
              <w:t>+2P, 0P+0P</w:t>
            </w:r>
            <w:r>
              <w:rPr>
                <w:rFonts w:hint="eastAsia" w:eastAsia="微软雅黑"/>
                <w:color w:val="000000"/>
                <w:kern w:val="24"/>
                <w:sz w:val="21"/>
                <w:szCs w:val="21"/>
              </w:rPr>
              <w:t>+0P</w:t>
            </w:r>
            <w:r>
              <w:rPr>
                <w:rFonts w:eastAsia="微软雅黑"/>
                <w:color w:val="000000"/>
                <w:kern w:val="24"/>
                <w:sz w:val="21"/>
                <w:szCs w:val="21"/>
              </w:rPr>
              <w:t>+1P</w:t>
            </w:r>
          </w:p>
        </w:tc>
      </w:tr>
    </w:tbl>
    <w:p>
      <w:pPr>
        <w:numPr>
          <w:ilvl w:val="0"/>
          <w:numId w:val="8"/>
        </w:numPr>
        <w:ind w:left="563" w:leftChars="100" w:hanging="363"/>
        <w:contextualSpacing/>
        <w:jc w:val="both"/>
        <w:textAlignment w:val="baseline"/>
      </w:pPr>
      <w:r>
        <w:t xml:space="preserve">For 2Tx-2Tx switching </w:t>
      </w:r>
      <w:r>
        <w:rPr>
          <w:lang w:val="en-US"/>
        </w:rPr>
        <w:t>across 4</w:t>
      </w:r>
      <w:r>
        <w:t xml:space="preserve"> </w:t>
      </w:r>
      <w:r>
        <w:rPr>
          <w:lang w:val="en-US"/>
        </w:rPr>
        <w:t>bands</w:t>
      </w:r>
      <w:r>
        <w:t>, the mapping between UL transmission ports and Tx chain</w:t>
      </w:r>
      <w:r>
        <w:rPr>
          <w:lang w:val="en-US"/>
        </w:rPr>
        <w:t>s</w:t>
      </w:r>
      <w:r>
        <w:t xml:space="preserve"> for</w:t>
      </w:r>
      <w:r>
        <w:rPr>
          <w:lang w:val="en-US"/>
        </w:rPr>
        <w:t xml:space="preserve"> </w:t>
      </w:r>
      <w:r>
        <w:t xml:space="preserve">UL CA </w:t>
      </w:r>
      <w:r>
        <w:rPr>
          <w:lang w:val="en-US"/>
        </w:rPr>
        <w:t>option 2</w:t>
      </w:r>
      <w:r>
        <w:t xml:space="preserve"> </w:t>
      </w:r>
      <w:r>
        <w:rPr>
          <w:rFonts w:hint="default"/>
          <w:lang w:val="en-US"/>
        </w:rPr>
        <w:t>(dual UL)</w:t>
      </w:r>
      <w:r>
        <w:rPr>
          <w:lang w:val="en-US"/>
        </w:rPr>
        <w:t>can be</w:t>
      </w:r>
      <w:r>
        <w:t xml:space="preserve"> defined as </w:t>
      </w:r>
      <w:r>
        <w:rPr>
          <w:lang w:val="en-US"/>
        </w:rPr>
        <w:t>in Table 4</w:t>
      </w:r>
      <w:r>
        <w:t>.</w:t>
      </w:r>
      <w:r>
        <w:br w:type="textWrapping"/>
      </w:r>
    </w:p>
    <w:p>
      <w:pPr>
        <w:jc w:val="center"/>
        <w:rPr>
          <w:b/>
          <w:bCs/>
          <w:lang w:val="en-US"/>
        </w:rPr>
      </w:pPr>
      <w:r>
        <w:rPr>
          <w:b/>
          <w:bCs/>
          <w:lang w:val="en-US"/>
        </w:rPr>
        <w:t xml:space="preserve">Table 4. </w:t>
      </w:r>
      <w:r>
        <w:rPr>
          <w:b/>
          <w:bCs/>
        </w:rPr>
        <w:t xml:space="preserve">2Tx-2Tx switching </w:t>
      </w:r>
      <w:r>
        <w:rPr>
          <w:b/>
          <w:bCs/>
          <w:lang w:val="en-US"/>
        </w:rPr>
        <w:t>across 4</w:t>
      </w:r>
      <w:r>
        <w:rPr>
          <w:b/>
          <w:bCs/>
        </w:rPr>
        <w:t xml:space="preserve"> </w:t>
      </w:r>
      <w:r>
        <w:rPr>
          <w:b/>
          <w:bCs/>
          <w:lang w:val="en-US"/>
        </w:rPr>
        <w:t>bands for UL CA option 2</w:t>
      </w:r>
      <w:r>
        <w:rPr>
          <w:b/>
          <w:bCs/>
          <w:lang w:eastAsia="zh-CN"/>
        </w:rPr>
        <w:t xml:space="preserve"> (</w:t>
      </w:r>
      <w:r>
        <w:rPr>
          <w:rFonts w:eastAsia="Times New Roman"/>
          <w:b/>
          <w:bCs/>
          <w:iCs/>
          <w:lang w:eastAsia="en-GB"/>
        </w:rPr>
        <w:t>dual</w:t>
      </w:r>
      <w:r>
        <w:rPr>
          <w:rFonts w:hint="default" w:eastAsia="Times New Roman"/>
          <w:b/>
          <w:bCs/>
          <w:iCs/>
          <w:lang w:val="en-US" w:eastAsia="en-GB"/>
        </w:rPr>
        <w:t xml:space="preserve"> </w:t>
      </w:r>
      <w:r>
        <w:rPr>
          <w:rFonts w:eastAsia="Times New Roman"/>
          <w:b/>
          <w:bCs/>
          <w:iCs/>
          <w:lang w:eastAsia="en-GB"/>
        </w:rPr>
        <w:t>UL</w:t>
      </w:r>
      <w:r>
        <w:rPr>
          <w:b/>
          <w:bCs/>
          <w:lang w:eastAsia="zh-CN"/>
        </w:rPr>
        <w:t>)</w:t>
      </w:r>
    </w:p>
    <w:tbl>
      <w:tblPr>
        <w:tblStyle w:val="49"/>
        <w:tblW w:w="9326" w:type="dxa"/>
        <w:jc w:val="center"/>
        <w:tblLayout w:type="autofit"/>
        <w:tblCellMar>
          <w:top w:w="0" w:type="dxa"/>
          <w:left w:w="0" w:type="dxa"/>
          <w:bottom w:w="0" w:type="dxa"/>
          <w:right w:w="0" w:type="dxa"/>
        </w:tblCellMar>
      </w:tblPr>
      <w:tblGrid>
        <w:gridCol w:w="1200"/>
        <w:gridCol w:w="3125"/>
        <w:gridCol w:w="5001"/>
      </w:tblGrid>
      <w:tr>
        <w:tblPrEx>
          <w:tblCellMar>
            <w:top w:w="0" w:type="dxa"/>
            <w:left w:w="0" w:type="dxa"/>
            <w:bottom w:w="0" w:type="dxa"/>
            <w:right w:w="0" w:type="dxa"/>
          </w:tblCellMar>
        </w:tblPrEx>
        <w:trPr>
          <w:trHeight w:val="773"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sz w:val="20"/>
                <w:szCs w:val="20"/>
              </w:rPr>
            </w:pPr>
            <w:r>
              <w:rPr>
                <w:color w:val="000000"/>
                <w:sz w:val="20"/>
                <w:szCs w:val="20"/>
                <w:lang w:val="en-GB"/>
              </w:rPr>
              <w:t> </w:t>
            </w:r>
          </w:p>
        </w:tc>
        <w:tc>
          <w:tcPr>
            <w:tcW w:w="312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pPr>
              <w:pStyle w:val="44"/>
              <w:spacing w:before="0" w:beforeAutospacing="0" w:after="120" w:afterAutospacing="0"/>
              <w:jc w:val="center"/>
              <w:rPr>
                <w:sz w:val="20"/>
                <w:szCs w:val="20"/>
              </w:rPr>
            </w:pPr>
            <w:r>
              <w:rPr>
                <w:color w:val="000000"/>
                <w:sz w:val="20"/>
                <w:szCs w:val="20"/>
                <w:lang w:val="en-GB"/>
              </w:rPr>
              <w:t>(band A+band B</w:t>
            </w:r>
            <w:r>
              <w:rPr>
                <w:color w:val="000000"/>
                <w:sz w:val="20"/>
                <w:szCs w:val="20"/>
              </w:rPr>
              <w:t>+band C+band D</w:t>
            </w:r>
            <w:r>
              <w:rPr>
                <w:color w:val="000000"/>
                <w:sz w:val="20"/>
                <w:szCs w:val="20"/>
                <w:lang w:val="en-GB"/>
              </w:rPr>
              <w:t>)</w:t>
            </w:r>
          </w:p>
        </w:tc>
        <w:tc>
          <w:tcPr>
            <w:tcW w:w="50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pPr>
              <w:pStyle w:val="44"/>
              <w:spacing w:before="0" w:beforeAutospacing="0" w:after="120" w:afterAutospacing="0"/>
              <w:jc w:val="center"/>
              <w:rPr>
                <w:sz w:val="20"/>
                <w:szCs w:val="20"/>
              </w:rPr>
            </w:pPr>
            <w:r>
              <w:rPr>
                <w:color w:val="000000"/>
                <w:sz w:val="20"/>
                <w:szCs w:val="20"/>
                <w:lang w:val="en-GB"/>
              </w:rPr>
              <w:t xml:space="preserve">(band A+band </w:t>
            </w:r>
            <w:r>
              <w:rPr>
                <w:color w:val="000000"/>
                <w:sz w:val="20"/>
                <w:szCs w:val="20"/>
              </w:rPr>
              <w:t>B</w:t>
            </w:r>
            <w:r>
              <w:rPr>
                <w:color w:val="000000"/>
                <w:sz w:val="20"/>
                <w:szCs w:val="20"/>
                <w:lang w:val="en-GB"/>
              </w:rPr>
              <w:t xml:space="preserve"> +</w:t>
            </w:r>
            <w:r>
              <w:rPr>
                <w:color w:val="000000"/>
                <w:sz w:val="20"/>
                <w:szCs w:val="20"/>
              </w:rPr>
              <w:t>band C+band D</w:t>
            </w:r>
            <w:r>
              <w:rPr>
                <w:color w:val="000000"/>
                <w:sz w:val="20"/>
                <w:szCs w:val="20"/>
                <w:lang w:val="en-GB"/>
              </w:rPr>
              <w:t>)</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1</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2P+0P+0P+0P, 1P+0P+0P+0P</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Case 2</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0T+2T</w:t>
            </w:r>
            <w:r>
              <w:rPr>
                <w:color w:val="000000"/>
                <w:sz w:val="20"/>
                <w:szCs w:val="20"/>
              </w:rPr>
              <w:t>+0T+0T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 xml:space="preserve">0P+2P+0P+0P, 0P+1P+0P+0P </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Case 3</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0T+0T+2T+0T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eastAsia="微软雅黑"/>
                <w:color w:val="000000"/>
                <w:kern w:val="24"/>
                <w:sz w:val="20"/>
                <w:szCs w:val="20"/>
              </w:rPr>
              <w:t>0P</w:t>
            </w:r>
            <w:r>
              <w:rPr>
                <w:rFonts w:hint="eastAsia" w:eastAsia="微软雅黑"/>
                <w:color w:val="000000"/>
                <w:kern w:val="24"/>
                <w:sz w:val="20"/>
                <w:szCs w:val="20"/>
              </w:rPr>
              <w:t>+0P</w:t>
            </w:r>
            <w:r>
              <w:rPr>
                <w:rFonts w:eastAsia="微软雅黑"/>
                <w:color w:val="000000"/>
                <w:kern w:val="24"/>
                <w:sz w:val="20"/>
                <w:szCs w:val="20"/>
              </w:rPr>
              <w:t>+2P</w:t>
            </w:r>
            <w:r>
              <w:rPr>
                <w:rFonts w:hint="eastAsia" w:eastAsia="微软雅黑"/>
                <w:color w:val="000000"/>
                <w:kern w:val="24"/>
                <w:sz w:val="20"/>
                <w:szCs w:val="20"/>
              </w:rPr>
              <w:t>+0P</w:t>
            </w:r>
            <w:r>
              <w:rPr>
                <w:rFonts w:eastAsia="微软雅黑"/>
                <w:color w:val="000000"/>
                <w:kern w:val="24"/>
                <w:sz w:val="20"/>
                <w:szCs w:val="20"/>
              </w:rPr>
              <w:t>, 0P+0P+1P</w:t>
            </w:r>
            <w:r>
              <w:rPr>
                <w:rFonts w:hint="eastAsia" w:eastAsia="微软雅黑"/>
                <w:color w:val="000000"/>
                <w:kern w:val="24"/>
                <w:sz w:val="20"/>
                <w:szCs w:val="20"/>
              </w:rPr>
              <w:t>+0P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4</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color w:val="000000"/>
                <w:sz w:val="20"/>
                <w:szCs w:val="20"/>
              </w:rPr>
              <w:t>0</w:t>
            </w:r>
            <w:r>
              <w:rPr>
                <w:color w:val="000000"/>
                <w:sz w:val="20"/>
                <w:szCs w:val="20"/>
                <w:lang w:val="en-GB"/>
              </w:rPr>
              <w:t>T</w:t>
            </w:r>
            <w:r>
              <w:rPr>
                <w:color w:val="000000"/>
                <w:sz w:val="20"/>
                <w:szCs w:val="20"/>
              </w:rPr>
              <w:t>+0T+0T+2T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0P+0P</w:t>
            </w:r>
            <w:r>
              <w:rPr>
                <w:rFonts w:hint="eastAsia" w:eastAsia="微软雅黑"/>
                <w:color w:val="000000"/>
                <w:kern w:val="24"/>
                <w:sz w:val="20"/>
                <w:szCs w:val="20"/>
              </w:rPr>
              <w:t>+0P</w:t>
            </w:r>
            <w:r>
              <w:rPr>
                <w:rFonts w:eastAsia="微软雅黑"/>
                <w:color w:val="000000"/>
                <w:kern w:val="24"/>
                <w:sz w:val="20"/>
                <w:szCs w:val="20"/>
              </w:rPr>
              <w:t>+2P, 0P+0P+0P+1P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5</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1T+1T+0T</w:t>
            </w:r>
            <w:r>
              <w:rPr>
                <w:color w:val="000000"/>
                <w:sz w:val="20"/>
                <w:szCs w:val="20"/>
              </w:rPr>
              <w:t>+0T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1P+0P+0P+0P, 1P+1P+0P+0P, 0P+1P+0P+0P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6</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1T+0T+1T</w:t>
            </w:r>
            <w:r>
              <w:rPr>
                <w:color w:val="000000"/>
                <w:sz w:val="20"/>
                <w:szCs w:val="20"/>
              </w:rPr>
              <w:t>+0T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1P+0P+0P+0P, 1P+0P+1P+0P, 0P+0P+1P+0P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7</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1T+0T+0T+1T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1P+0P+0P+0P, 1P+0P+0P+1P, 0P+0P+0P+1P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8</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0T+1T+1T</w:t>
            </w:r>
            <w:r>
              <w:rPr>
                <w:color w:val="000000"/>
                <w:sz w:val="20"/>
                <w:szCs w:val="20"/>
              </w:rPr>
              <w:t>+0T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0P+1P+0P+0P, 0P+1P+1P+0P, 0P+0P+1P+0P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9</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0T+1T+0T+1T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0P+1P+0P+0P, 0P+1P+0P+1P, 0P+0P+0P+1P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10</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0T+0T+1T+1T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0P+0P+1P+0P, 0P+0P+1P+1P, 0P+0P+0P+1P</w:t>
            </w:r>
          </w:p>
        </w:tc>
      </w:tr>
    </w:tbl>
    <w:p>
      <w:pPr>
        <w:snapToGrid w:val="0"/>
        <w:spacing w:after="100"/>
        <w:jc w:val="both"/>
        <w:rPr>
          <w:sz w:val="21"/>
          <w:szCs w:val="21"/>
          <w:lang w:val="en-US"/>
        </w:rPr>
      </w:pPr>
      <w:r>
        <w:rPr>
          <w:lang w:val="en-US"/>
        </w:rPr>
        <w:t>Considering</w:t>
      </w:r>
      <w:r>
        <w:t xml:space="preserve"> </w:t>
      </w:r>
      <w:r>
        <w:rPr>
          <w:lang w:val="en-US"/>
        </w:rPr>
        <w:t>i</w:t>
      </w:r>
      <w:r>
        <w:rPr>
          <w:rFonts w:hint="eastAsia"/>
        </w:rPr>
        <w:t>nter-band UL CA Option 1 (i.e., switched UL) for {SUL band + corresponding NUL band} + 1 other NUL band</w:t>
      </w:r>
      <w:r>
        <w:rPr>
          <w:lang w:val="en-US"/>
        </w:rPr>
        <w:t xml:space="preserve">, it is noted that </w:t>
      </w:r>
      <w:r>
        <w:rPr>
          <w:color w:val="000000" w:themeColor="text1"/>
          <w14:textFill>
            <w14:solidFill>
              <w14:schemeClr w14:val="tx1"/>
            </w14:solidFill>
          </w14:textFill>
        </w:rPr>
        <w:t>UL CA is performed between NUL</w:t>
      </w:r>
      <w:r>
        <w:rPr>
          <w:color w:val="000000" w:themeColor="text1"/>
          <w:lang w:val="en-US"/>
          <w14:textFill>
            <w14:solidFill>
              <w14:schemeClr w14:val="tx1"/>
            </w14:solidFill>
          </w14:textFill>
        </w:rPr>
        <w:t xml:space="preserve"> band</w:t>
      </w:r>
      <w:r>
        <w:rPr>
          <w:color w:val="000000" w:themeColor="text1"/>
          <w14:textFill>
            <w14:solidFill>
              <w14:schemeClr w14:val="tx1"/>
            </w14:solidFill>
          </w14:textFill>
        </w:rPr>
        <w:t>s according to current RAN4 specifications should not be changed</w:t>
      </w:r>
      <w:r>
        <w:rPr>
          <w:color w:val="000000" w:themeColor="text1"/>
          <w:lang w:val="en-US"/>
          <w14:textFill>
            <w14:solidFill>
              <w14:schemeClr w14:val="tx1"/>
            </w14:solidFill>
          </w14:textFill>
        </w:rPr>
        <w:t xml:space="preserve">. If UL CA Option 1 is performed between NUL bands, then </w:t>
      </w:r>
      <w:r>
        <w:t>the mapping between UL transmission ports and Tx chain</w:t>
      </w:r>
      <w:r>
        <w:rPr>
          <w:lang w:val="en-US"/>
        </w:rPr>
        <w:t>s for this case is similar to the mapping relationship for UL CA option 1</w:t>
      </w:r>
      <w:r>
        <w:rPr>
          <w:lang w:eastAsia="zh-CN"/>
        </w:rPr>
        <w:t xml:space="preserve"> (</w:t>
      </w:r>
      <w:r>
        <w:rPr>
          <w:rFonts w:eastAsia="Times New Roman"/>
          <w:iCs/>
          <w:lang w:val="en-US" w:eastAsia="en-GB"/>
        </w:rPr>
        <w:t xml:space="preserve">switched </w:t>
      </w:r>
      <w:r>
        <w:rPr>
          <w:rFonts w:eastAsia="Times New Roman"/>
          <w:iCs/>
          <w:lang w:eastAsia="en-GB"/>
        </w:rPr>
        <w:t>UL</w:t>
      </w:r>
      <w:r>
        <w:rPr>
          <w:lang w:eastAsia="zh-CN"/>
        </w:rPr>
        <w:t>)</w:t>
      </w:r>
      <w:r>
        <w:rPr>
          <w:lang w:val="en-US" w:eastAsia="zh-CN"/>
        </w:rPr>
        <w:t xml:space="preserve">. If UL CA Option 2 can be performed between NUL bands, then concurrent transmission is allowed between NUL bands, and the cases with 1T+1T </w:t>
      </w:r>
      <w:r>
        <w:rPr>
          <w:rFonts w:hint="default"/>
          <w:lang w:val="en-US" w:eastAsia="zh-CN"/>
        </w:rPr>
        <w:t xml:space="preserve">chain states </w:t>
      </w:r>
      <w:r>
        <w:rPr>
          <w:lang w:val="en-US" w:eastAsia="zh-CN"/>
        </w:rPr>
        <w:t>on NUL bands can be supported for UL Tx switching.</w:t>
      </w:r>
      <w:r>
        <w:rPr>
          <w:lang w:val="en-US"/>
        </w:rPr>
        <w:t xml:space="preserve">  </w:t>
      </w:r>
    </w:p>
    <w:p>
      <w:pPr>
        <w:snapToGrid w:val="0"/>
        <w:spacing w:after="100"/>
        <w:jc w:val="both"/>
        <w:rPr>
          <w:sz w:val="21"/>
          <w:szCs w:val="21"/>
          <w:lang w:val="en-US" w:eastAsia="zh-CN"/>
        </w:rPr>
      </w:pPr>
      <w:r>
        <w:rPr>
          <w:sz w:val="21"/>
          <w:szCs w:val="21"/>
          <w:lang w:val="en-US"/>
        </w:rPr>
        <w:t>Besides, in the CA scenarios with i</w:t>
      </w:r>
      <w:r>
        <w:rPr>
          <w:lang w:eastAsia="zh-CN"/>
        </w:rPr>
        <w:t>ntra-band two contiguous aggregated carriers within one non-SUL band out of 3 or 4 bands</w:t>
      </w:r>
      <w:r>
        <w:rPr>
          <w:lang w:val="en-US" w:eastAsia="zh-CN"/>
        </w:rPr>
        <w:t xml:space="preserve">, the mapping </w:t>
      </w:r>
      <w:r>
        <w:t>between UL transmission ports and Tx chain</w:t>
      </w:r>
      <w:r>
        <w:rPr>
          <w:lang w:val="en-US"/>
        </w:rPr>
        <w:t xml:space="preserve">s of </w:t>
      </w:r>
      <w:r>
        <w:rPr>
          <w:lang w:val="en-US" w:eastAsia="zh-CN"/>
        </w:rPr>
        <w:t xml:space="preserve">such cases can be </w:t>
      </w:r>
      <w:r>
        <w:rPr>
          <w:sz w:val="21"/>
          <w:szCs w:val="21"/>
          <w:lang w:val="en-US"/>
        </w:rPr>
        <w:t xml:space="preserve">similar to </w:t>
      </w:r>
      <w:r>
        <w:rPr>
          <w:sz w:val="21"/>
          <w:szCs w:val="21"/>
        </w:rPr>
        <w:t>Rel-17 2Tx-2Tx switching between 1 carrier on Band A and 2 contiguous carriers on Band B</w:t>
      </w:r>
      <w:r>
        <w:rPr>
          <w:sz w:val="21"/>
          <w:szCs w:val="21"/>
          <w:lang w:val="en-US"/>
        </w:rPr>
        <w:t>.</w:t>
      </w:r>
    </w:p>
    <w:p>
      <w:pPr>
        <w:snapToGrid w:val="0"/>
        <w:spacing w:after="100"/>
        <w:jc w:val="both"/>
        <w:rPr>
          <w:rFonts w:hint="eastAsia"/>
          <w:sz w:val="21"/>
          <w:szCs w:val="21"/>
          <w:lang w:val="en-US" w:eastAsia="zh-CN"/>
        </w:rPr>
      </w:pPr>
      <w:r>
        <w:rPr>
          <w:rFonts w:hint="eastAsia"/>
          <w:sz w:val="21"/>
          <w:szCs w:val="21"/>
          <w:lang w:val="en-US" w:eastAsia="zh-CN"/>
        </w:rPr>
        <w:t>T</w:t>
      </w:r>
      <w:r>
        <w:rPr>
          <w:sz w:val="21"/>
          <w:szCs w:val="21"/>
          <w:lang w:val="en-US" w:eastAsia="zh-CN"/>
        </w:rPr>
        <w:t xml:space="preserve">he most advantage of Alt 1 is to reuse Rel-15/16 principle but more standard efforts are needed to define the mapping between </w:t>
      </w:r>
      <w:r>
        <w:t>UL transmission ports and Tx chain</w:t>
      </w:r>
      <w:r>
        <w:rPr>
          <w:lang w:val="en-US"/>
        </w:rPr>
        <w:t xml:space="preserve">s, which is not a </w:t>
      </w:r>
      <w:r>
        <w:rPr>
          <w:sz w:val="21"/>
          <w:szCs w:val="21"/>
          <w:lang w:val="en-US" w:eastAsia="zh-CN"/>
        </w:rPr>
        <w:t>forward compatible solution if more UL Tx switching scenarios are introduced.</w:t>
      </w:r>
    </w:p>
    <w:p>
      <w:pPr>
        <w:snapToGrid/>
        <w:spacing w:after="180"/>
        <w:jc w:val="both"/>
        <w:rPr>
          <w:rFonts w:hint="eastAsia"/>
          <w:b/>
          <w:sz w:val="21"/>
          <w:szCs w:val="21"/>
          <w:u w:val="single"/>
          <w:lang w:val="en-US" w:eastAsia="zh-CN"/>
        </w:rPr>
      </w:pPr>
      <w:r>
        <w:rPr>
          <w:rFonts w:hint="eastAsia"/>
          <w:b/>
          <w:u w:val="single"/>
          <w:lang w:val="en-US" w:eastAsia="zh-CN"/>
        </w:rPr>
        <w:t>A</w:t>
      </w:r>
      <w:r>
        <w:rPr>
          <w:b/>
          <w:u w:val="single"/>
          <w:lang w:val="en-US" w:eastAsia="zh-CN"/>
        </w:rPr>
        <w:t>lt 2:</w:t>
      </w:r>
    </w:p>
    <w:p>
      <w:pPr>
        <w:snapToGrid w:val="0"/>
        <w:spacing w:after="100"/>
        <w:jc w:val="both"/>
        <w:rPr>
          <w:sz w:val="21"/>
          <w:szCs w:val="21"/>
          <w:lang w:val="en-US" w:eastAsia="zh-CN"/>
        </w:rPr>
      </w:pPr>
      <w:r>
        <w:rPr>
          <w:sz w:val="21"/>
          <w:szCs w:val="21"/>
          <w:lang w:val="en-US" w:eastAsia="zh-CN"/>
        </w:rPr>
        <w:t xml:space="preserve">Regarding </w:t>
      </w:r>
      <w:r>
        <w:rPr>
          <w:lang w:val="en-US" w:eastAsia="zh-CN"/>
        </w:rPr>
        <w:t>Alt.</w:t>
      </w:r>
      <w:r>
        <w:rPr>
          <w:sz w:val="21"/>
          <w:szCs w:val="21"/>
          <w:lang w:val="en-US" w:eastAsia="zh-CN"/>
        </w:rPr>
        <w:t>2, considering current spec has supported the 2 UL Tx switching between 2 bands, the Rel-18 Tx switching can be triggered in the form of switching between carriers/bands combinations from the 3 or 4 configured ban</w:t>
      </w:r>
      <w:r>
        <w:rPr>
          <w:lang w:val="en-US" w:eastAsia="zh-CN"/>
        </w:rPr>
        <w:t>d</w:t>
      </w:r>
      <w:r>
        <w:rPr>
          <w:sz w:val="21"/>
          <w:szCs w:val="21"/>
          <w:lang w:val="en-US" w:eastAsia="zh-CN"/>
        </w:rPr>
        <w:t xml:space="preserve">s to reduce RAN1 spec impact. That is, the first step is selecting 2 out of 3 or 4 bands as the target band combination, which can be indicated by MAC CE or DCI. The second step is </w:t>
      </w:r>
      <w:r>
        <w:rPr>
          <w:rFonts w:hint="default"/>
          <w:sz w:val="21"/>
          <w:szCs w:val="21"/>
          <w:lang w:val="en-US" w:eastAsia="zh-CN"/>
        </w:rPr>
        <w:t xml:space="preserve">performing </w:t>
      </w:r>
      <w:r>
        <w:rPr>
          <w:sz w:val="21"/>
          <w:szCs w:val="21"/>
          <w:lang w:val="en-US" w:eastAsia="zh-CN"/>
        </w:rPr>
        <w:t xml:space="preserve">Tx switching among the selected 2 bands using Rel-16/Rel-17 mechanism and signalling. </w:t>
      </w:r>
    </w:p>
    <w:p>
      <w:pPr>
        <w:snapToGrid w:val="0"/>
        <w:spacing w:after="100"/>
        <w:jc w:val="both"/>
        <w:rPr>
          <w:sz w:val="21"/>
          <w:szCs w:val="21"/>
          <w:lang w:val="en-US" w:eastAsia="zh-CN"/>
        </w:rPr>
      </w:pPr>
      <w:r>
        <w:rPr>
          <w:rFonts w:hint="eastAsia"/>
          <w:lang w:eastAsia="zh-CN"/>
        </w:rPr>
        <w:t>Dynamically indicate carriers/bands combination out of 3 or 4 candidate bands</w:t>
      </w:r>
      <w:r>
        <w:rPr>
          <w:lang w:val="en-US" w:eastAsia="zh-CN"/>
        </w:rPr>
        <w:t xml:space="preserve"> can also provide flexibility, and there is no need to re-d</w:t>
      </w:r>
      <w:r>
        <w:rPr>
          <w:rFonts w:hint="eastAsia"/>
          <w:lang w:eastAsia="zh-CN"/>
        </w:rPr>
        <w:t>efine the mapping of Tx chains and antenna case by case</w:t>
      </w:r>
      <w:r>
        <w:rPr>
          <w:lang w:val="en-US" w:eastAsia="zh-CN"/>
        </w:rPr>
        <w:t xml:space="preserve"> even if the number of configured bands increases</w:t>
      </w:r>
      <w:r>
        <w:rPr>
          <w:rFonts w:hint="eastAsia"/>
          <w:lang w:eastAsia="zh-CN"/>
        </w:rPr>
        <w:t>.</w:t>
      </w:r>
    </w:p>
    <w:p>
      <w:pPr>
        <w:jc w:val="both"/>
        <w:rPr>
          <w:rFonts w:hint="eastAsia"/>
          <w:b/>
          <w:u w:val="single"/>
          <w:lang w:val="en-US" w:eastAsia="zh-CN"/>
        </w:rPr>
      </w:pPr>
      <w:r>
        <w:rPr>
          <w:rFonts w:hint="eastAsia"/>
          <w:b/>
          <w:u w:val="single"/>
          <w:lang w:val="en-US" w:eastAsia="zh-CN"/>
        </w:rPr>
        <w:t>A</w:t>
      </w:r>
      <w:r>
        <w:rPr>
          <w:b/>
          <w:u w:val="single"/>
          <w:lang w:val="en-US" w:eastAsia="zh-CN"/>
        </w:rPr>
        <w:t>lt 3:</w:t>
      </w:r>
    </w:p>
    <w:p>
      <w:pPr>
        <w:jc w:val="both"/>
        <w:rPr>
          <w:rStyle w:val="56"/>
          <w:i w:val="0"/>
          <w:lang w:val="en-US"/>
        </w:rPr>
      </w:pPr>
      <w:r>
        <w:rPr>
          <w:lang w:val="en-US" w:eastAsia="zh-CN"/>
        </w:rPr>
        <w:t xml:space="preserve">While for Alt.3, as the Tx switching can only be performed between the selected anchor band and a non-anchor band, when there are 3 or 4 bands configured for UL Tx switching, the Tx switching between two non-anchor band will be limited. This will affect the flexibility of UL Tx switching considering the motivation is </w:t>
      </w:r>
      <w:r>
        <w:rPr>
          <w:rStyle w:val="56"/>
          <w:i w:val="0"/>
        </w:rPr>
        <w:t xml:space="preserve">to ensure </w:t>
      </w:r>
      <w:r>
        <w:rPr>
          <w:rStyle w:val="56"/>
          <w:i w:val="0"/>
          <w:lang w:val="en-US"/>
        </w:rPr>
        <w:t>available</w:t>
      </w:r>
      <w:r>
        <w:rPr>
          <w:rStyle w:val="56"/>
          <w:i w:val="0"/>
        </w:rPr>
        <w:t xml:space="preserve"> scattered spectrum bands</w:t>
      </w:r>
      <w:r>
        <w:rPr>
          <w:rStyle w:val="56"/>
          <w:i w:val="0"/>
          <w:lang w:val="en-US"/>
        </w:rPr>
        <w:t xml:space="preserve"> </w:t>
      </w:r>
      <w:r>
        <w:rPr>
          <w:rStyle w:val="56"/>
          <w:i w:val="0"/>
        </w:rPr>
        <w:t>can be utilized in a more spectral/power efficient and flexible manner</w:t>
      </w:r>
      <w:r>
        <w:rPr>
          <w:rStyle w:val="56"/>
          <w:i w:val="0"/>
          <w:lang w:val="en-US"/>
        </w:rPr>
        <w:t xml:space="preserve">. </w:t>
      </w:r>
    </w:p>
    <w:p>
      <w:pPr>
        <w:jc w:val="both"/>
        <w:rPr>
          <w:lang w:val="en-US" w:eastAsia="zh-CN"/>
        </w:rPr>
      </w:pPr>
      <w:r>
        <w:rPr>
          <w:rStyle w:val="56"/>
          <w:i w:val="0"/>
          <w:lang w:val="en-US"/>
        </w:rPr>
        <w:t>According to the analysis above, we prefer to down-select between Alt.1 and Alt.2.</w:t>
      </w:r>
    </w:p>
    <w:p>
      <w:pPr>
        <w:jc w:val="both"/>
        <w:rPr>
          <w:b/>
          <w:lang w:val="en-US"/>
        </w:rPr>
      </w:pPr>
      <w:r>
        <w:rPr>
          <w:b/>
          <w:lang w:val="en-US"/>
        </w:rPr>
        <w:t xml:space="preserve">Proposal 1. To support the UL Tx switching across 3 and 4 bands, the following enhancement of switching mechanism can be </w:t>
      </w:r>
      <w:r>
        <w:rPr>
          <w:rFonts w:hint="default"/>
          <w:b/>
          <w:lang w:val="en-US"/>
        </w:rPr>
        <w:t xml:space="preserve">further </w:t>
      </w:r>
      <w:r>
        <w:rPr>
          <w:b/>
          <w:lang w:val="en-US"/>
        </w:rPr>
        <w:t>studied.</w:t>
      </w:r>
    </w:p>
    <w:p>
      <w:pPr>
        <w:numPr>
          <w:ilvl w:val="0"/>
          <w:numId w:val="8"/>
        </w:numPr>
        <w:ind w:left="563" w:leftChars="100" w:hanging="363"/>
        <w:contextualSpacing/>
        <w:jc w:val="both"/>
        <w:textAlignment w:val="baseline"/>
        <w:rPr>
          <w:b/>
          <w:bCs/>
          <w:lang w:val="en-US" w:eastAsia="zh-CN"/>
        </w:rPr>
      </w:pPr>
      <w:r>
        <w:rPr>
          <w:b/>
          <w:bCs/>
          <w:lang w:val="en-US" w:eastAsia="zh-CN"/>
        </w:rPr>
        <w:t xml:space="preserve">Alt.1. </w:t>
      </w:r>
      <w:r>
        <w:rPr>
          <w:rFonts w:hint="eastAsia"/>
          <w:b/>
          <w:bCs/>
          <w:lang w:val="en-US" w:eastAsia="zh-CN"/>
        </w:rPr>
        <w:t>Dynamic Tx carrier switching can be across all the supported switching cases by the UE and based on the UL scheduling, i.e., via UL grant and/or RRC configuration for UL transmission</w:t>
      </w:r>
      <w:r>
        <w:rPr>
          <w:b/>
          <w:bCs/>
          <w:lang w:val="en-US" w:eastAsia="zh-CN"/>
        </w:rPr>
        <w:t>.</w:t>
      </w:r>
    </w:p>
    <w:p>
      <w:pPr>
        <w:numPr>
          <w:ilvl w:val="0"/>
          <w:numId w:val="8"/>
        </w:numPr>
        <w:ind w:left="563" w:leftChars="100" w:hanging="363"/>
        <w:contextualSpacing/>
        <w:jc w:val="both"/>
        <w:textAlignment w:val="baseline"/>
        <w:rPr>
          <w:lang w:eastAsia="zh-CN"/>
        </w:rPr>
      </w:pPr>
      <w:r>
        <w:rPr>
          <w:b/>
          <w:bCs/>
          <w:lang w:val="en-US" w:eastAsia="zh-CN"/>
        </w:rPr>
        <w:t>Alt.2. Dynamically indicate carriers/bands combination out of 3 or 4 candidate bands for UL Tx switching by signalling, e.g., MAC CE, DCI, and reuse Rel-17 UL Tx switching mechanism among carriers/bands combination.</w:t>
      </w:r>
    </w:p>
    <w:p>
      <w:pPr>
        <w:pStyle w:val="3"/>
        <w:ind w:left="0" w:firstLine="0"/>
        <w:jc w:val="both"/>
        <w:rPr>
          <w:b w:val="0"/>
          <w:bCs w:val="0"/>
          <w:lang w:val="en-US" w:eastAsia="zh-CN"/>
        </w:rPr>
      </w:pPr>
      <w:r>
        <w:rPr>
          <w:rFonts w:hint="eastAsia" w:ascii="Times New Roman" w:hAnsi="Times New Roman"/>
          <w:lang w:eastAsia="zh-CN"/>
        </w:rPr>
        <w:t>2</w:t>
      </w:r>
      <w:r>
        <w:rPr>
          <w:rFonts w:ascii="Times New Roman" w:hAnsi="Times New Roman"/>
          <w:lang w:eastAsia="zh-CN"/>
        </w:rPr>
        <w:t>.</w:t>
      </w:r>
      <w:r>
        <w:rPr>
          <w:rFonts w:ascii="Times New Roman" w:hAnsi="Times New Roman"/>
          <w:lang w:val="en-US" w:eastAsia="zh-CN"/>
        </w:rPr>
        <w:t>2</w:t>
      </w:r>
      <w:r>
        <w:rPr>
          <w:rFonts w:ascii="Times New Roman" w:hAnsi="Times New Roman"/>
          <w:lang w:eastAsia="zh-CN"/>
        </w:rPr>
        <w:t xml:space="preserve"> Other </w:t>
      </w:r>
      <w:r>
        <w:rPr>
          <w:rFonts w:ascii="Times New Roman" w:hAnsi="Times New Roman"/>
          <w:lang w:val="en-US" w:eastAsia="zh-CN"/>
        </w:rPr>
        <w:t>considerations</w:t>
      </w:r>
    </w:p>
    <w:p>
      <w:pPr>
        <w:spacing w:after="0"/>
        <w:jc w:val="both"/>
        <w:rPr>
          <w:lang w:val="en-US" w:eastAsia="zh-CN"/>
        </w:rPr>
      </w:pPr>
      <w:r>
        <w:rPr>
          <w:lang w:val="en-US" w:eastAsia="zh-CN"/>
        </w:rPr>
        <w:t xml:space="preserve">It is commented that the switching configuration should be considered due to the potential complexity when fully dynamic Tx switching across 3 or 4 bands is enabled. According to the motivation of the WI on multi-carrier enhancement, </w:t>
      </w:r>
      <w:r>
        <w:rPr>
          <w:rStyle w:val="56"/>
          <w:i w:val="0"/>
        </w:rPr>
        <w:t xml:space="preserve">it is important to ensure </w:t>
      </w:r>
      <w:r>
        <w:rPr>
          <w:rStyle w:val="56"/>
          <w:i w:val="0"/>
          <w:lang w:val="en-US"/>
        </w:rPr>
        <w:t>the available</w:t>
      </w:r>
      <w:r>
        <w:rPr>
          <w:rStyle w:val="56"/>
          <w:i w:val="0"/>
        </w:rPr>
        <w:t xml:space="preserve"> scattered spectrum bands or wider bandwidth spectrum can be utilized in a more spectral/power efficient and flexible manner</w:t>
      </w:r>
      <w:r>
        <w:rPr>
          <w:rStyle w:val="56"/>
          <w:i w:val="0"/>
          <w:lang w:val="en-US"/>
        </w:rPr>
        <w:t xml:space="preserve">, which </w:t>
      </w:r>
      <w:r>
        <w:rPr>
          <w:rStyle w:val="56"/>
          <w:i w:val="0"/>
        </w:rPr>
        <w:t>may potentially lead to higher UL data rate, spectrum utilization and UL capacity</w:t>
      </w:r>
      <w:r>
        <w:rPr>
          <w:rStyle w:val="56"/>
          <w:rFonts w:hint="eastAsia"/>
          <w:i w:val="0"/>
        </w:rPr>
        <w:t>.</w:t>
      </w:r>
      <w:r>
        <w:rPr>
          <w:rStyle w:val="56"/>
          <w:i w:val="0"/>
          <w:lang w:val="en-US"/>
        </w:rPr>
        <w:t xml:space="preserve"> </w:t>
      </w:r>
      <w:r>
        <w:rPr>
          <w:lang w:val="en-US" w:eastAsia="zh-CN"/>
        </w:rPr>
        <w:t>From our perspective, to</w:t>
      </w:r>
      <w:r>
        <w:rPr>
          <w:rFonts w:hint="eastAsia"/>
          <w:lang w:val="en-US" w:eastAsia="zh-CN"/>
        </w:rPr>
        <w:t xml:space="preserve"> make full use of the </w:t>
      </w:r>
      <w:r>
        <w:rPr>
          <w:lang w:val="en-US" w:eastAsia="zh-CN"/>
        </w:rPr>
        <w:t xml:space="preserve">scattered </w:t>
      </w:r>
      <w:r>
        <w:rPr>
          <w:rFonts w:hint="eastAsia"/>
          <w:lang w:val="en-US" w:eastAsia="zh-CN"/>
        </w:rPr>
        <w:t>spectrum</w:t>
      </w:r>
      <w:r>
        <w:rPr>
          <w:lang w:val="en-US" w:eastAsia="zh-CN"/>
        </w:rPr>
        <w:t xml:space="preserve"> bands</w:t>
      </w:r>
      <w:r>
        <w:rPr>
          <w:rFonts w:hint="eastAsia"/>
          <w:lang w:val="en-US" w:eastAsia="zh-CN"/>
        </w:rPr>
        <w:t xml:space="preserve">, there is no need to limit only 1Tx transmission on </w:t>
      </w:r>
      <w:r>
        <w:rPr>
          <w:lang w:val="en-US" w:eastAsia="zh-CN"/>
        </w:rPr>
        <w:t>one or more</w:t>
      </w:r>
      <w:r>
        <w:rPr>
          <w:rFonts w:hint="eastAsia"/>
          <w:lang w:val="en-US" w:eastAsia="zh-CN"/>
        </w:rPr>
        <w:t xml:space="preserve"> certain band</w:t>
      </w:r>
      <w:r>
        <w:rPr>
          <w:lang w:val="en-US" w:eastAsia="zh-CN"/>
        </w:rPr>
        <w:t>s in the specification</w:t>
      </w:r>
      <w:r>
        <w:rPr>
          <w:rFonts w:hint="eastAsia"/>
          <w:lang w:val="en-US" w:eastAsia="zh-CN"/>
        </w:rPr>
        <w:t>,</w:t>
      </w:r>
      <w:r>
        <w:rPr>
          <w:lang w:val="en-US" w:eastAsia="zh-CN"/>
        </w:rPr>
        <w:t xml:space="preserve"> which can just depend on UE and gNB implementation.</w:t>
      </w:r>
    </w:p>
    <w:p>
      <w:pPr>
        <w:jc w:val="both"/>
        <w:rPr>
          <w:b/>
          <w:bCs/>
          <w:lang w:val="en-US" w:eastAsia="zh-CN"/>
        </w:rPr>
      </w:pPr>
      <w:r>
        <w:rPr>
          <w:b/>
          <w:bCs/>
          <w:lang w:val="en-US" w:eastAsia="zh-CN"/>
        </w:rPr>
        <w:t>Proposal 2. For any switching mechanism, b</w:t>
      </w:r>
      <w:r>
        <w:rPr>
          <w:rFonts w:hint="eastAsia"/>
          <w:b/>
          <w:bCs/>
          <w:lang w:val="en-US" w:eastAsia="zh-CN"/>
        </w:rPr>
        <w:t>oth of two Tx chains can switch to any of 3</w:t>
      </w:r>
      <w:r>
        <w:rPr>
          <w:b/>
          <w:bCs/>
          <w:lang w:val="en-US" w:eastAsia="zh-CN"/>
        </w:rPr>
        <w:t xml:space="preserve"> or 4</w:t>
      </w:r>
      <w:r>
        <w:rPr>
          <w:rFonts w:hint="eastAsia"/>
          <w:b/>
          <w:bCs/>
          <w:lang w:val="en-US" w:eastAsia="zh-CN"/>
        </w:rPr>
        <w:t xml:space="preserve"> bands</w:t>
      </w:r>
      <w:r>
        <w:rPr>
          <w:b/>
          <w:bCs/>
          <w:lang w:val="en-US" w:eastAsia="zh-CN"/>
        </w:rPr>
        <w:t xml:space="preserve"> to provide scheduling flexibility and performance improvements.</w:t>
      </w:r>
    </w:p>
    <w:p>
      <w:pPr>
        <w:jc w:val="both"/>
        <w:rPr>
          <w:lang w:val="en-US" w:eastAsia="zh-CN"/>
        </w:rPr>
      </w:pPr>
      <w:r>
        <w:rPr>
          <w:lang w:val="en-US" w:eastAsia="zh-CN"/>
        </w:rPr>
        <w:t>Another issue is the configuration of PUCCH cell for Rel-18 UL Tx switching across 3 or 4 bands. In current NR design, PUCCH can be only configured on sPCell or PUCCH-SCell, when UE Tx is switched to the carrier/band corresponding to a cell without PUCCH resource configuration, this will result in an ambiguity on which cell the PUCCH can transmit. Thus, the PUCCH cell configuration for UL Tx switching needs to be further studied, and we think the following options can be considered.</w:t>
      </w:r>
    </w:p>
    <w:p>
      <w:pPr>
        <w:numPr>
          <w:ilvl w:val="0"/>
          <w:numId w:val="8"/>
        </w:numPr>
        <w:ind w:left="563" w:leftChars="100" w:hanging="363"/>
        <w:contextualSpacing/>
        <w:jc w:val="both"/>
        <w:textAlignment w:val="baseline"/>
        <w:rPr>
          <w:lang w:val="en-US" w:eastAsia="zh-CN"/>
        </w:rPr>
      </w:pPr>
      <w:r>
        <w:rPr>
          <w:lang w:val="en-US" w:eastAsia="zh-CN"/>
        </w:rPr>
        <w:t xml:space="preserve">Option 1. </w:t>
      </w:r>
      <w:r>
        <w:rPr>
          <w:rFonts w:hint="default"/>
          <w:lang w:val="en-US" w:eastAsia="zh-CN"/>
        </w:rPr>
        <w:t>Depending</w:t>
      </w:r>
      <w:r>
        <w:rPr>
          <w:lang w:val="en-US" w:eastAsia="zh-CN"/>
        </w:rPr>
        <w:t xml:space="preserve"> </w:t>
      </w:r>
      <w:r>
        <w:rPr>
          <w:rFonts w:hint="default"/>
          <w:lang w:val="en-US" w:eastAsia="zh-CN"/>
        </w:rPr>
        <w:t>on</w:t>
      </w:r>
      <w:r>
        <w:rPr>
          <w:lang w:val="en-US" w:eastAsia="zh-CN"/>
        </w:rPr>
        <w:t xml:space="preserve"> gNB’s implementation to guarantee UE’s Tx switch to the carriers/bands corresponding to the cell configured with PUCCH.</w:t>
      </w:r>
    </w:p>
    <w:p>
      <w:pPr>
        <w:numPr>
          <w:ilvl w:val="0"/>
          <w:numId w:val="8"/>
        </w:numPr>
        <w:ind w:left="563" w:leftChars="100" w:hanging="363"/>
        <w:contextualSpacing/>
        <w:jc w:val="both"/>
        <w:textAlignment w:val="baseline"/>
        <w:rPr>
          <w:lang w:val="en-US" w:eastAsia="zh-CN"/>
        </w:rPr>
      </w:pPr>
      <w:r>
        <w:rPr>
          <w:lang w:val="en-US" w:eastAsia="zh-CN"/>
        </w:rPr>
        <w:t>Option 2. Multiple PUCCH cells can be pre-configured.</w:t>
      </w:r>
    </w:p>
    <w:p>
      <w:pPr>
        <w:contextualSpacing/>
        <w:jc w:val="both"/>
        <w:textAlignment w:val="baseline"/>
        <w:rPr>
          <w:lang w:val="en-US" w:eastAsia="zh-CN"/>
        </w:rPr>
      </w:pPr>
    </w:p>
    <w:p>
      <w:pPr>
        <w:jc w:val="both"/>
        <w:rPr>
          <w:lang w:val="en-US" w:eastAsia="zh-CN"/>
        </w:rPr>
      </w:pPr>
      <w:r>
        <w:rPr>
          <w:lang w:val="en-US" w:eastAsia="zh-CN"/>
        </w:rPr>
        <w:t>The first option is up to gNB implementation to guarantee UE’s Tx has been switched to sPCell or PUCCH-SCell in the slot UE needs to feedback HARQ-ACK</w:t>
      </w:r>
      <w:r>
        <w:rPr>
          <w:rFonts w:hint="default"/>
          <w:lang w:val="en-US" w:eastAsia="zh-CN"/>
        </w:rPr>
        <w:t>,</w:t>
      </w:r>
      <w:r>
        <w:rPr>
          <w:lang w:val="en-US" w:eastAsia="zh-CN"/>
        </w:rPr>
        <w:t xml:space="preserve"> which can avoid UE’s Tx switch to a cell not configured with PUCCH. But this will reduce the spectrum utilization due to UE’s Tx must be switched to specific UL carrier/band in such HARQ-ACK feedback slot even other carriers/bands could provide better transmission conditions.</w:t>
      </w:r>
    </w:p>
    <w:p>
      <w:pPr>
        <w:jc w:val="both"/>
        <w:rPr>
          <w:lang w:val="en-US" w:eastAsia="zh-CN"/>
        </w:rPr>
      </w:pPr>
      <w:r>
        <w:rPr>
          <w:lang w:val="en-US" w:eastAsia="zh-CN"/>
        </w:rPr>
        <w:t xml:space="preserve">In </w:t>
      </w:r>
      <w:r>
        <w:rPr>
          <w:rFonts w:hint="default"/>
          <w:lang w:val="en-US" w:eastAsia="zh-CN"/>
        </w:rPr>
        <w:t>O</w:t>
      </w:r>
      <w:r>
        <w:rPr>
          <w:lang w:val="en-US" w:eastAsia="zh-CN"/>
        </w:rPr>
        <w:t xml:space="preserve">ption 2, multiple PUCCH cells can be pre-configured and UE can determine one cell to transmit PUCCH in any Tx switching scenarios. For example, all three or four carriers can be configured with PUCCH resource with some priority or order and UE can determine the carrier to transmit PUCCH according </w:t>
      </w:r>
      <w:r>
        <w:rPr>
          <w:rFonts w:hint="default"/>
          <w:lang w:val="en-US" w:eastAsia="zh-CN"/>
        </w:rPr>
        <w:t xml:space="preserve">to </w:t>
      </w:r>
      <w:bookmarkStart w:id="5" w:name="_GoBack"/>
      <w:bookmarkEnd w:id="5"/>
      <w:r>
        <w:rPr>
          <w:lang w:val="en-US" w:eastAsia="zh-CN"/>
        </w:rPr>
        <w:t>the pre-defined order and the carriers Tx has been switched on.</w:t>
      </w:r>
      <w:r>
        <w:rPr>
          <w:rFonts w:hint="eastAsia"/>
          <w:lang w:val="en-US" w:eastAsia="zh-CN"/>
        </w:rPr>
        <w:t xml:space="preserve"> </w:t>
      </w:r>
      <w:r>
        <w:rPr>
          <w:lang w:val="en-US" w:eastAsia="zh-CN"/>
        </w:rPr>
        <w:t>In this way, all configured bands can be used for UL Tx switching without additional restrictions, and there is no impact on UL data rate. Thus it is recommended that multiple PUCCH cells can be configured for UE UL Tx switching across 3 or 4 bands to ensure better spectrum utilization of UL transmissions.</w:t>
      </w:r>
    </w:p>
    <w:p>
      <w:pPr>
        <w:jc w:val="both"/>
        <w:rPr>
          <w:lang w:val="en-US" w:eastAsia="zh-CN"/>
        </w:rPr>
      </w:pPr>
      <w:r>
        <w:rPr>
          <w:b/>
          <w:bCs/>
          <w:lang w:val="en-US" w:eastAsia="zh-CN"/>
        </w:rPr>
        <w:t>Proposal 3. Multiple PUCCH cells can be configured for Rel-18 UL Tx switching across 3 or 4 bands.</w:t>
      </w:r>
    </w:p>
    <w:p>
      <w:pPr>
        <w:pStyle w:val="2"/>
        <w:numPr>
          <w:ilvl w:val="0"/>
          <w:numId w:val="5"/>
        </w:numPr>
        <w:rPr>
          <w:rFonts w:ascii="Times New Roman" w:hAnsi="Times New Roman"/>
          <w:lang w:eastAsia="zh-CN"/>
        </w:rPr>
      </w:pPr>
      <w:r>
        <w:rPr>
          <w:rFonts w:ascii="Times New Roman" w:hAnsi="Times New Roman" w:eastAsiaTheme="minorEastAsia"/>
          <w:lang w:eastAsia="zh-CN"/>
        </w:rPr>
        <w:t>Conclusions</w:t>
      </w:r>
    </w:p>
    <w:p>
      <w:pPr>
        <w:jc w:val="both"/>
        <w:rPr>
          <w:lang w:eastAsia="zh-CN"/>
        </w:rPr>
      </w:pPr>
      <w:r>
        <w:t xml:space="preserve">In this contribution, </w:t>
      </w:r>
      <w:r>
        <w:rPr>
          <w:lang w:val="en-US"/>
        </w:rPr>
        <w:t xml:space="preserve">key issues on </w:t>
      </w:r>
      <w:r>
        <w:rPr>
          <w:rFonts w:hint="eastAsia"/>
        </w:rPr>
        <w:t>multi-carrier UL Tx switching scheme</w:t>
      </w:r>
      <w:r>
        <w:t xml:space="preserve"> </w:t>
      </w:r>
      <w:r>
        <w:rPr>
          <w:lang w:val="en-US"/>
        </w:rPr>
        <w:t xml:space="preserve">are </w:t>
      </w:r>
      <w:r>
        <w:t xml:space="preserve">discussed, </w:t>
      </w:r>
      <w:r>
        <w:rPr>
          <w:lang w:eastAsia="zh-CN"/>
        </w:rPr>
        <w:t>and the following</w:t>
      </w:r>
      <w:r>
        <w:rPr>
          <w:lang w:val="en-US" w:eastAsia="zh-CN"/>
        </w:rPr>
        <w:t xml:space="preserve"> and </w:t>
      </w:r>
      <w:r>
        <w:rPr>
          <w:lang w:eastAsia="zh-CN"/>
        </w:rPr>
        <w:t>proposals are made.</w:t>
      </w:r>
    </w:p>
    <w:p>
      <w:pPr>
        <w:jc w:val="both"/>
        <w:rPr>
          <w:b/>
          <w:lang w:val="en-US"/>
        </w:rPr>
      </w:pPr>
      <w:r>
        <w:rPr>
          <w:b/>
          <w:lang w:val="en-US"/>
        </w:rPr>
        <w:t>Proposal 1. To support the UL Tx switching across 3 and 4 bands, the following enhancement of switching mechanism can be</w:t>
      </w:r>
      <w:r>
        <w:rPr>
          <w:rFonts w:hint="default"/>
          <w:b/>
          <w:lang w:val="en-US"/>
        </w:rPr>
        <w:t xml:space="preserve"> further</w:t>
      </w:r>
      <w:r>
        <w:rPr>
          <w:b/>
          <w:lang w:val="en-US"/>
        </w:rPr>
        <w:t xml:space="preserve"> studied.</w:t>
      </w:r>
    </w:p>
    <w:p>
      <w:pPr>
        <w:numPr>
          <w:ilvl w:val="0"/>
          <w:numId w:val="8"/>
        </w:numPr>
        <w:ind w:left="563" w:leftChars="100" w:hanging="363"/>
        <w:contextualSpacing/>
        <w:jc w:val="both"/>
        <w:textAlignment w:val="baseline"/>
        <w:rPr>
          <w:b/>
          <w:bCs/>
          <w:lang w:val="en-US" w:eastAsia="zh-CN"/>
        </w:rPr>
      </w:pPr>
      <w:r>
        <w:rPr>
          <w:b/>
          <w:bCs/>
          <w:lang w:val="en-US" w:eastAsia="zh-CN"/>
        </w:rPr>
        <w:t xml:space="preserve">Alt.1. </w:t>
      </w:r>
      <w:r>
        <w:rPr>
          <w:rFonts w:hint="eastAsia"/>
          <w:b/>
          <w:bCs/>
          <w:lang w:val="en-US" w:eastAsia="zh-CN"/>
        </w:rPr>
        <w:t>Dynamic Tx carrier switching can be across all the supported switching cases by the UE and based on the UL scheduling, i.e., via UL grant and/or RRC configuration for UL transmission</w:t>
      </w:r>
      <w:r>
        <w:rPr>
          <w:b/>
          <w:bCs/>
          <w:lang w:val="en-US" w:eastAsia="zh-CN"/>
        </w:rPr>
        <w:t>.</w:t>
      </w:r>
    </w:p>
    <w:p>
      <w:pPr>
        <w:numPr>
          <w:ilvl w:val="0"/>
          <w:numId w:val="8"/>
        </w:numPr>
        <w:ind w:left="563" w:leftChars="100" w:hanging="363"/>
        <w:contextualSpacing/>
        <w:jc w:val="both"/>
        <w:textAlignment w:val="baseline"/>
        <w:rPr>
          <w:lang w:eastAsia="zh-CN"/>
        </w:rPr>
      </w:pPr>
      <w:r>
        <w:rPr>
          <w:b/>
          <w:bCs/>
          <w:lang w:val="en-US" w:eastAsia="zh-CN"/>
        </w:rPr>
        <w:t>Alt.2. Dynamically indicate carriers/bands combination out of 3 or 4 candidate bands for UL Tx switching by signalling, e.g., MAC CE, DCI, and reuse Rel-17 UL Tx switching mechanism among carriers/bands combination.</w:t>
      </w:r>
    </w:p>
    <w:p>
      <w:pPr>
        <w:numPr>
          <w:ilvl w:val="0"/>
          <w:numId w:val="0"/>
        </w:numPr>
        <w:contextualSpacing/>
        <w:jc w:val="both"/>
        <w:textAlignment w:val="baseline"/>
        <w:rPr>
          <w:lang w:eastAsia="zh-CN"/>
        </w:rPr>
      </w:pPr>
    </w:p>
    <w:p>
      <w:pPr>
        <w:jc w:val="both"/>
        <w:rPr>
          <w:b/>
          <w:bCs/>
          <w:lang w:val="en-US" w:eastAsia="zh-CN"/>
        </w:rPr>
      </w:pPr>
      <w:r>
        <w:rPr>
          <w:b/>
          <w:bCs/>
          <w:lang w:val="en-US" w:eastAsia="zh-CN"/>
        </w:rPr>
        <w:t>Proposal 2. For any switching mechanism, b</w:t>
      </w:r>
      <w:r>
        <w:rPr>
          <w:rFonts w:hint="eastAsia"/>
          <w:b/>
          <w:bCs/>
          <w:lang w:val="en-US" w:eastAsia="zh-CN"/>
        </w:rPr>
        <w:t>oth of two Tx chains can switch to any of 3</w:t>
      </w:r>
      <w:r>
        <w:rPr>
          <w:b/>
          <w:bCs/>
          <w:lang w:val="en-US" w:eastAsia="zh-CN"/>
        </w:rPr>
        <w:t xml:space="preserve"> or 4</w:t>
      </w:r>
      <w:r>
        <w:rPr>
          <w:rFonts w:hint="eastAsia"/>
          <w:b/>
          <w:bCs/>
          <w:lang w:val="en-US" w:eastAsia="zh-CN"/>
        </w:rPr>
        <w:t xml:space="preserve"> bands</w:t>
      </w:r>
      <w:r>
        <w:rPr>
          <w:b/>
          <w:bCs/>
          <w:lang w:val="en-US" w:eastAsia="zh-CN"/>
        </w:rPr>
        <w:t xml:space="preserve"> to provide scheduling flexibility and performance improvements.</w:t>
      </w:r>
    </w:p>
    <w:p>
      <w:pPr>
        <w:jc w:val="both"/>
        <w:rPr>
          <w:b/>
          <w:bCs/>
          <w:lang w:val="en-US" w:eastAsia="zh-CN"/>
        </w:rPr>
      </w:pPr>
      <w:r>
        <w:rPr>
          <w:b/>
          <w:bCs/>
          <w:lang w:val="en-US" w:eastAsia="zh-CN"/>
        </w:rPr>
        <w:t>Proposal 3. Multiple PUCCH cells can be configured for Rel-18 UL Tx switching across 3 or 4 bands</w:t>
      </w:r>
      <w:r>
        <w:rPr>
          <w:b/>
          <w:lang w:val="en-US"/>
        </w:rPr>
        <w:t>.</w:t>
      </w:r>
    </w:p>
    <w:p>
      <w:pPr>
        <w:pStyle w:val="2"/>
        <w:numPr>
          <w:ilvl w:val="0"/>
          <w:numId w:val="5"/>
        </w:numPr>
        <w:tabs>
          <w:tab w:val="left" w:pos="340"/>
        </w:tabs>
        <w:rPr>
          <w:rFonts w:ascii="Times New Roman" w:hAnsi="Times New Roman" w:eastAsiaTheme="minorEastAsia"/>
          <w:lang w:eastAsia="zh-CN"/>
        </w:rPr>
      </w:pPr>
      <w:r>
        <w:rPr>
          <w:rFonts w:ascii="Times New Roman" w:hAnsi="Times New Roman" w:eastAsiaTheme="minorEastAsia"/>
          <w:lang w:eastAsia="zh-CN"/>
        </w:rPr>
        <w:t>References</w:t>
      </w:r>
    </w:p>
    <w:p>
      <w:pPr>
        <w:pStyle w:val="135"/>
        <w:numPr>
          <w:ilvl w:val="0"/>
          <w:numId w:val="9"/>
        </w:numPr>
        <w:ind w:left="0" w:leftChars="0" w:firstLine="0"/>
        <w:rPr>
          <w:rFonts w:ascii="Times New Roman" w:hAnsi="Times New Roman"/>
          <w:lang w:eastAsia="zh-CN"/>
        </w:rPr>
      </w:pPr>
      <w:r>
        <w:rPr>
          <w:rFonts w:ascii="Times New Roman" w:hAnsi="Times New Roman"/>
          <w:lang w:val="en-US" w:eastAsia="zh-CN"/>
        </w:rPr>
        <w:t xml:space="preserve">Chairman's Notes RAN1#109-e. </w:t>
      </w:r>
    </w:p>
    <w:p>
      <w:pPr>
        <w:pStyle w:val="135"/>
        <w:numPr>
          <w:ilvl w:val="0"/>
          <w:numId w:val="9"/>
        </w:numPr>
        <w:ind w:left="0" w:leftChars="0" w:firstLine="0"/>
        <w:rPr>
          <w:rFonts w:ascii="Times New Roman" w:hAnsi="Times New Roman"/>
          <w:bCs/>
          <w:lang w:eastAsia="zh-CN"/>
        </w:rPr>
      </w:pPr>
      <w:r>
        <w:rPr>
          <w:rFonts w:hint="eastAsia" w:ascii="Times New Roman" w:hAnsi="Times New Roman"/>
          <w:lang w:val="en-US" w:eastAsia="zh-CN"/>
        </w:rPr>
        <w:t>RP-2</w:t>
      </w:r>
      <w:r>
        <w:rPr>
          <w:rFonts w:ascii="Times New Roman" w:hAnsi="Times New Roman"/>
          <w:lang w:val="en-US" w:eastAsia="zh-CN"/>
        </w:rPr>
        <w:t>21435, Revised WID on Multi-carrier enhancements, RAN#96</w:t>
      </w:r>
      <w:r>
        <w:rPr>
          <w:rFonts w:hint="default" w:ascii="Times New Roman" w:hAnsi="Times New Roman"/>
          <w:lang w:val="en-US" w:eastAsia="zh-CN"/>
        </w:rPr>
        <w:t>.</w:t>
      </w:r>
      <w:r>
        <w:rPr>
          <w:rFonts w:ascii="Times New Roman" w:hAnsi="Times New Roman"/>
          <w:lang w:val="en-US" w:eastAsia="zh-CN"/>
        </w:rPr>
        <w:t xml:space="preserve"> </w:t>
      </w: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0B2D7755"/>
    <w:multiLevelType w:val="multilevel"/>
    <w:tmpl w:val="0B2D775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88B3F97"/>
    <w:multiLevelType w:val="multilevel"/>
    <w:tmpl w:val="188B3F9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4">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6">
    <w:nsid w:val="52733F77"/>
    <w:multiLevelType w:val="multilevel"/>
    <w:tmpl w:val="52733F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8">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8"/>
  </w:num>
  <w:num w:numId="3">
    <w:abstractNumId w:val="7"/>
  </w:num>
  <w:num w:numId="4">
    <w:abstractNumId w:val="3"/>
    <w:lvlOverride w:ilvl="0">
      <w:startOverride w:val="1"/>
    </w:lvlOverride>
  </w:num>
  <w:num w:numId="5">
    <w:abstractNumId w:val="5"/>
  </w:num>
  <w:num w:numId="6">
    <w:abstractNumId w:val="1"/>
  </w:num>
  <w:num w:numId="7">
    <w:abstractNumId w:val="6"/>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1F75"/>
    <w:rsid w:val="00012608"/>
    <w:rsid w:val="000126D3"/>
    <w:rsid w:val="000127FE"/>
    <w:rsid w:val="000129B9"/>
    <w:rsid w:val="00012ECA"/>
    <w:rsid w:val="000130CA"/>
    <w:rsid w:val="00013366"/>
    <w:rsid w:val="000136E6"/>
    <w:rsid w:val="00013FEF"/>
    <w:rsid w:val="0001459D"/>
    <w:rsid w:val="00014796"/>
    <w:rsid w:val="000154C2"/>
    <w:rsid w:val="00015753"/>
    <w:rsid w:val="00015902"/>
    <w:rsid w:val="00015A1C"/>
    <w:rsid w:val="00015A71"/>
    <w:rsid w:val="000164FB"/>
    <w:rsid w:val="00016C16"/>
    <w:rsid w:val="00016E91"/>
    <w:rsid w:val="000176A8"/>
    <w:rsid w:val="00017A1A"/>
    <w:rsid w:val="00017E82"/>
    <w:rsid w:val="00017E87"/>
    <w:rsid w:val="000201D1"/>
    <w:rsid w:val="00020FFA"/>
    <w:rsid w:val="0002184D"/>
    <w:rsid w:val="00021884"/>
    <w:rsid w:val="0002198E"/>
    <w:rsid w:val="00021A14"/>
    <w:rsid w:val="00022063"/>
    <w:rsid w:val="00022D93"/>
    <w:rsid w:val="000236E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546"/>
    <w:rsid w:val="0002764E"/>
    <w:rsid w:val="00027751"/>
    <w:rsid w:val="00027BD7"/>
    <w:rsid w:val="00027F10"/>
    <w:rsid w:val="00030361"/>
    <w:rsid w:val="000303C3"/>
    <w:rsid w:val="000303D4"/>
    <w:rsid w:val="000304E9"/>
    <w:rsid w:val="0003054D"/>
    <w:rsid w:val="000307DA"/>
    <w:rsid w:val="00030832"/>
    <w:rsid w:val="0003141C"/>
    <w:rsid w:val="000314A0"/>
    <w:rsid w:val="00031571"/>
    <w:rsid w:val="0003176E"/>
    <w:rsid w:val="000319B0"/>
    <w:rsid w:val="00031D46"/>
    <w:rsid w:val="00032478"/>
    <w:rsid w:val="000325C3"/>
    <w:rsid w:val="00032670"/>
    <w:rsid w:val="0003277B"/>
    <w:rsid w:val="00033635"/>
    <w:rsid w:val="000338D8"/>
    <w:rsid w:val="00033B1E"/>
    <w:rsid w:val="00033B55"/>
    <w:rsid w:val="00033F8F"/>
    <w:rsid w:val="0003420A"/>
    <w:rsid w:val="00034589"/>
    <w:rsid w:val="00034CDE"/>
    <w:rsid w:val="00034FF6"/>
    <w:rsid w:val="0003510D"/>
    <w:rsid w:val="00035340"/>
    <w:rsid w:val="0003569D"/>
    <w:rsid w:val="000357D4"/>
    <w:rsid w:val="00035904"/>
    <w:rsid w:val="00035BE7"/>
    <w:rsid w:val="000364E4"/>
    <w:rsid w:val="000378BB"/>
    <w:rsid w:val="00037C7E"/>
    <w:rsid w:val="00041910"/>
    <w:rsid w:val="00041961"/>
    <w:rsid w:val="00041FCD"/>
    <w:rsid w:val="00042177"/>
    <w:rsid w:val="000421F9"/>
    <w:rsid w:val="000425B7"/>
    <w:rsid w:val="00042776"/>
    <w:rsid w:val="00042AFB"/>
    <w:rsid w:val="000439AF"/>
    <w:rsid w:val="00043B6C"/>
    <w:rsid w:val="00043C07"/>
    <w:rsid w:val="00043D95"/>
    <w:rsid w:val="00044469"/>
    <w:rsid w:val="00044C9A"/>
    <w:rsid w:val="000459EF"/>
    <w:rsid w:val="0004645D"/>
    <w:rsid w:val="000465B4"/>
    <w:rsid w:val="00046684"/>
    <w:rsid w:val="00046B84"/>
    <w:rsid w:val="00046D1E"/>
    <w:rsid w:val="00046E41"/>
    <w:rsid w:val="00046F98"/>
    <w:rsid w:val="00047156"/>
    <w:rsid w:val="00047647"/>
    <w:rsid w:val="00047C68"/>
    <w:rsid w:val="00047DE6"/>
    <w:rsid w:val="0005018F"/>
    <w:rsid w:val="00050402"/>
    <w:rsid w:val="00051A49"/>
    <w:rsid w:val="00051D76"/>
    <w:rsid w:val="00051ECF"/>
    <w:rsid w:val="00051FFE"/>
    <w:rsid w:val="00052319"/>
    <w:rsid w:val="000523A2"/>
    <w:rsid w:val="00052608"/>
    <w:rsid w:val="0005269D"/>
    <w:rsid w:val="000527C0"/>
    <w:rsid w:val="0005293E"/>
    <w:rsid w:val="00053B1F"/>
    <w:rsid w:val="00053EF4"/>
    <w:rsid w:val="00054810"/>
    <w:rsid w:val="000554C4"/>
    <w:rsid w:val="000555C4"/>
    <w:rsid w:val="00055D01"/>
    <w:rsid w:val="00055DE0"/>
    <w:rsid w:val="00055E7F"/>
    <w:rsid w:val="00056266"/>
    <w:rsid w:val="0005634E"/>
    <w:rsid w:val="00056941"/>
    <w:rsid w:val="000577CF"/>
    <w:rsid w:val="000578DE"/>
    <w:rsid w:val="000579CD"/>
    <w:rsid w:val="00057E3C"/>
    <w:rsid w:val="000604C3"/>
    <w:rsid w:val="0006063D"/>
    <w:rsid w:val="0006084A"/>
    <w:rsid w:val="00060B55"/>
    <w:rsid w:val="00061113"/>
    <w:rsid w:val="000612AB"/>
    <w:rsid w:val="00061756"/>
    <w:rsid w:val="00061855"/>
    <w:rsid w:val="0006195D"/>
    <w:rsid w:val="000619DC"/>
    <w:rsid w:val="00061C5D"/>
    <w:rsid w:val="00062277"/>
    <w:rsid w:val="00062323"/>
    <w:rsid w:val="00062547"/>
    <w:rsid w:val="00062CA3"/>
    <w:rsid w:val="000631DC"/>
    <w:rsid w:val="000635B0"/>
    <w:rsid w:val="000636C5"/>
    <w:rsid w:val="00063934"/>
    <w:rsid w:val="000639E3"/>
    <w:rsid w:val="00063AAA"/>
    <w:rsid w:val="00064E27"/>
    <w:rsid w:val="00064F16"/>
    <w:rsid w:val="00065209"/>
    <w:rsid w:val="000655E4"/>
    <w:rsid w:val="00065792"/>
    <w:rsid w:val="00065C0B"/>
    <w:rsid w:val="00065CBB"/>
    <w:rsid w:val="00065E7A"/>
    <w:rsid w:val="000661C0"/>
    <w:rsid w:val="00066550"/>
    <w:rsid w:val="00066D51"/>
    <w:rsid w:val="00067198"/>
    <w:rsid w:val="00067476"/>
    <w:rsid w:val="000679E1"/>
    <w:rsid w:val="00067DD2"/>
    <w:rsid w:val="000701A8"/>
    <w:rsid w:val="000702BE"/>
    <w:rsid w:val="000704DB"/>
    <w:rsid w:val="000707E7"/>
    <w:rsid w:val="00070961"/>
    <w:rsid w:val="00070BD2"/>
    <w:rsid w:val="00070C42"/>
    <w:rsid w:val="00072005"/>
    <w:rsid w:val="00072615"/>
    <w:rsid w:val="00072755"/>
    <w:rsid w:val="00072850"/>
    <w:rsid w:val="00072DB3"/>
    <w:rsid w:val="00072FB7"/>
    <w:rsid w:val="00073125"/>
    <w:rsid w:val="00073340"/>
    <w:rsid w:val="0007338E"/>
    <w:rsid w:val="00073448"/>
    <w:rsid w:val="0007425F"/>
    <w:rsid w:val="0007436C"/>
    <w:rsid w:val="000743C5"/>
    <w:rsid w:val="00074743"/>
    <w:rsid w:val="00075077"/>
    <w:rsid w:val="00075636"/>
    <w:rsid w:val="00076252"/>
    <w:rsid w:val="0007645E"/>
    <w:rsid w:val="00076678"/>
    <w:rsid w:val="00076A0C"/>
    <w:rsid w:val="00076A49"/>
    <w:rsid w:val="00076A88"/>
    <w:rsid w:val="00076B12"/>
    <w:rsid w:val="0007777E"/>
    <w:rsid w:val="000779AF"/>
    <w:rsid w:val="000779B8"/>
    <w:rsid w:val="00077D8A"/>
    <w:rsid w:val="00077D99"/>
    <w:rsid w:val="00077FBD"/>
    <w:rsid w:val="00080013"/>
    <w:rsid w:val="00080190"/>
    <w:rsid w:val="00080A62"/>
    <w:rsid w:val="00080FF4"/>
    <w:rsid w:val="0008191B"/>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FDC"/>
    <w:rsid w:val="00086C2A"/>
    <w:rsid w:val="00087062"/>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D15"/>
    <w:rsid w:val="00093DA3"/>
    <w:rsid w:val="00093FC3"/>
    <w:rsid w:val="000943EE"/>
    <w:rsid w:val="000944C3"/>
    <w:rsid w:val="00094632"/>
    <w:rsid w:val="00094843"/>
    <w:rsid w:val="0009499B"/>
    <w:rsid w:val="00094EAA"/>
    <w:rsid w:val="000951F9"/>
    <w:rsid w:val="0009523D"/>
    <w:rsid w:val="00095D7E"/>
    <w:rsid w:val="00095E7D"/>
    <w:rsid w:val="00095FB3"/>
    <w:rsid w:val="00096346"/>
    <w:rsid w:val="00096641"/>
    <w:rsid w:val="0009672C"/>
    <w:rsid w:val="00096FDB"/>
    <w:rsid w:val="000976B9"/>
    <w:rsid w:val="000978D8"/>
    <w:rsid w:val="00097CD4"/>
    <w:rsid w:val="000A01A9"/>
    <w:rsid w:val="000A0446"/>
    <w:rsid w:val="000A04C9"/>
    <w:rsid w:val="000A09CC"/>
    <w:rsid w:val="000A13B3"/>
    <w:rsid w:val="000A1717"/>
    <w:rsid w:val="000A1887"/>
    <w:rsid w:val="000A188A"/>
    <w:rsid w:val="000A2144"/>
    <w:rsid w:val="000A2614"/>
    <w:rsid w:val="000A310A"/>
    <w:rsid w:val="000A33F0"/>
    <w:rsid w:val="000A3E82"/>
    <w:rsid w:val="000A4AD5"/>
    <w:rsid w:val="000A4CB0"/>
    <w:rsid w:val="000A511E"/>
    <w:rsid w:val="000A552F"/>
    <w:rsid w:val="000A55B3"/>
    <w:rsid w:val="000A5785"/>
    <w:rsid w:val="000A59E6"/>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9EC"/>
    <w:rsid w:val="000B4B8A"/>
    <w:rsid w:val="000B4BA1"/>
    <w:rsid w:val="000B4E17"/>
    <w:rsid w:val="000B4F59"/>
    <w:rsid w:val="000B5025"/>
    <w:rsid w:val="000B51F4"/>
    <w:rsid w:val="000B5558"/>
    <w:rsid w:val="000B5654"/>
    <w:rsid w:val="000B56A6"/>
    <w:rsid w:val="000B5EBC"/>
    <w:rsid w:val="000B5F05"/>
    <w:rsid w:val="000B61CD"/>
    <w:rsid w:val="000B624A"/>
    <w:rsid w:val="000B626A"/>
    <w:rsid w:val="000B6484"/>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2EC"/>
    <w:rsid w:val="000C7317"/>
    <w:rsid w:val="000C7498"/>
    <w:rsid w:val="000C75C7"/>
    <w:rsid w:val="000C7885"/>
    <w:rsid w:val="000C7A7B"/>
    <w:rsid w:val="000C7BBD"/>
    <w:rsid w:val="000C7EA3"/>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48A"/>
    <w:rsid w:val="000D580C"/>
    <w:rsid w:val="000D5DF4"/>
    <w:rsid w:val="000D5EA8"/>
    <w:rsid w:val="000D60C8"/>
    <w:rsid w:val="000D63FD"/>
    <w:rsid w:val="000D66B4"/>
    <w:rsid w:val="000D7308"/>
    <w:rsid w:val="000D743B"/>
    <w:rsid w:val="000D7521"/>
    <w:rsid w:val="000D7AF1"/>
    <w:rsid w:val="000D7F89"/>
    <w:rsid w:val="000E08B4"/>
    <w:rsid w:val="000E1047"/>
    <w:rsid w:val="000E13BE"/>
    <w:rsid w:val="000E199F"/>
    <w:rsid w:val="000E1CFB"/>
    <w:rsid w:val="000E24FD"/>
    <w:rsid w:val="000E265A"/>
    <w:rsid w:val="000E279A"/>
    <w:rsid w:val="000E2A3A"/>
    <w:rsid w:val="000E2D30"/>
    <w:rsid w:val="000E3175"/>
    <w:rsid w:val="000E33D0"/>
    <w:rsid w:val="000E3B82"/>
    <w:rsid w:val="000E3C78"/>
    <w:rsid w:val="000E3E84"/>
    <w:rsid w:val="000E4121"/>
    <w:rsid w:val="000E4B6C"/>
    <w:rsid w:val="000E4CC9"/>
    <w:rsid w:val="000E5060"/>
    <w:rsid w:val="000E52F0"/>
    <w:rsid w:val="000E57F9"/>
    <w:rsid w:val="000E59C2"/>
    <w:rsid w:val="000E5B7D"/>
    <w:rsid w:val="000E63C2"/>
    <w:rsid w:val="000E6461"/>
    <w:rsid w:val="000E68A2"/>
    <w:rsid w:val="000E7511"/>
    <w:rsid w:val="000E77BA"/>
    <w:rsid w:val="000E7869"/>
    <w:rsid w:val="000F04FD"/>
    <w:rsid w:val="000F0CC4"/>
    <w:rsid w:val="000F0D30"/>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0F"/>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F2A"/>
    <w:rsid w:val="00102057"/>
    <w:rsid w:val="001023C5"/>
    <w:rsid w:val="00102A7F"/>
    <w:rsid w:val="00102EC1"/>
    <w:rsid w:val="0010302C"/>
    <w:rsid w:val="0010323F"/>
    <w:rsid w:val="001033D8"/>
    <w:rsid w:val="00103454"/>
    <w:rsid w:val="0010345D"/>
    <w:rsid w:val="00103804"/>
    <w:rsid w:val="00103B97"/>
    <w:rsid w:val="001044D8"/>
    <w:rsid w:val="00104A90"/>
    <w:rsid w:val="00104DA1"/>
    <w:rsid w:val="00105615"/>
    <w:rsid w:val="001059C3"/>
    <w:rsid w:val="001059DA"/>
    <w:rsid w:val="00105D65"/>
    <w:rsid w:val="00105F0F"/>
    <w:rsid w:val="001060B4"/>
    <w:rsid w:val="0010616C"/>
    <w:rsid w:val="001063B9"/>
    <w:rsid w:val="0010670F"/>
    <w:rsid w:val="001074B7"/>
    <w:rsid w:val="001102EE"/>
    <w:rsid w:val="001106EC"/>
    <w:rsid w:val="00110D44"/>
    <w:rsid w:val="00111297"/>
    <w:rsid w:val="00111B7A"/>
    <w:rsid w:val="001129BE"/>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930"/>
    <w:rsid w:val="00121B8F"/>
    <w:rsid w:val="00121D45"/>
    <w:rsid w:val="00121EAA"/>
    <w:rsid w:val="00121EBC"/>
    <w:rsid w:val="00121FA9"/>
    <w:rsid w:val="0012222C"/>
    <w:rsid w:val="001222BD"/>
    <w:rsid w:val="0012230A"/>
    <w:rsid w:val="0012258B"/>
    <w:rsid w:val="00122650"/>
    <w:rsid w:val="00122AD2"/>
    <w:rsid w:val="00122D83"/>
    <w:rsid w:val="00123ADA"/>
    <w:rsid w:val="001241F3"/>
    <w:rsid w:val="00125120"/>
    <w:rsid w:val="00125382"/>
    <w:rsid w:val="0012542E"/>
    <w:rsid w:val="00125486"/>
    <w:rsid w:val="00125773"/>
    <w:rsid w:val="001257DC"/>
    <w:rsid w:val="001259EB"/>
    <w:rsid w:val="0012601B"/>
    <w:rsid w:val="00126282"/>
    <w:rsid w:val="001268EA"/>
    <w:rsid w:val="00126A51"/>
    <w:rsid w:val="00126E0C"/>
    <w:rsid w:val="00127176"/>
    <w:rsid w:val="001273DB"/>
    <w:rsid w:val="0012768A"/>
    <w:rsid w:val="001279F0"/>
    <w:rsid w:val="00127EC1"/>
    <w:rsid w:val="0013032A"/>
    <w:rsid w:val="001304A1"/>
    <w:rsid w:val="00130EEB"/>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2"/>
    <w:rsid w:val="00135AF6"/>
    <w:rsid w:val="00136157"/>
    <w:rsid w:val="00136662"/>
    <w:rsid w:val="00136964"/>
    <w:rsid w:val="00136EFF"/>
    <w:rsid w:val="00137562"/>
    <w:rsid w:val="00137835"/>
    <w:rsid w:val="00137F5C"/>
    <w:rsid w:val="001403BE"/>
    <w:rsid w:val="001405A0"/>
    <w:rsid w:val="00140B19"/>
    <w:rsid w:val="00140B9D"/>
    <w:rsid w:val="00140F0D"/>
    <w:rsid w:val="00140F47"/>
    <w:rsid w:val="00140FF7"/>
    <w:rsid w:val="00141281"/>
    <w:rsid w:val="0014139A"/>
    <w:rsid w:val="00141B0A"/>
    <w:rsid w:val="00142687"/>
    <w:rsid w:val="00142810"/>
    <w:rsid w:val="00142E8E"/>
    <w:rsid w:val="00142F3F"/>
    <w:rsid w:val="001436C9"/>
    <w:rsid w:val="00143C46"/>
    <w:rsid w:val="00143CE3"/>
    <w:rsid w:val="00143D6A"/>
    <w:rsid w:val="00144B25"/>
    <w:rsid w:val="00144E53"/>
    <w:rsid w:val="00145011"/>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1E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308"/>
    <w:rsid w:val="00161386"/>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5F2F"/>
    <w:rsid w:val="00166B86"/>
    <w:rsid w:val="00166C08"/>
    <w:rsid w:val="00167BCA"/>
    <w:rsid w:val="00170A7C"/>
    <w:rsid w:val="00171291"/>
    <w:rsid w:val="00171308"/>
    <w:rsid w:val="00171752"/>
    <w:rsid w:val="001719C6"/>
    <w:rsid w:val="00171D20"/>
    <w:rsid w:val="001728A1"/>
    <w:rsid w:val="00172A27"/>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77BD5"/>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77D"/>
    <w:rsid w:val="00186816"/>
    <w:rsid w:val="00186C71"/>
    <w:rsid w:val="00186E32"/>
    <w:rsid w:val="00186E88"/>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3FD"/>
    <w:rsid w:val="001968C0"/>
    <w:rsid w:val="001973E2"/>
    <w:rsid w:val="00197EA3"/>
    <w:rsid w:val="001A04FC"/>
    <w:rsid w:val="001A069F"/>
    <w:rsid w:val="001A0D32"/>
    <w:rsid w:val="001A0EB4"/>
    <w:rsid w:val="001A1047"/>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7C7"/>
    <w:rsid w:val="001A6F3C"/>
    <w:rsid w:val="001A7691"/>
    <w:rsid w:val="001A7958"/>
    <w:rsid w:val="001A7B33"/>
    <w:rsid w:val="001A7CD9"/>
    <w:rsid w:val="001A7FDF"/>
    <w:rsid w:val="001B0134"/>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BC2"/>
    <w:rsid w:val="001B4ED3"/>
    <w:rsid w:val="001B54AC"/>
    <w:rsid w:val="001B5C2E"/>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5FAE"/>
    <w:rsid w:val="001C6328"/>
    <w:rsid w:val="001C659F"/>
    <w:rsid w:val="001C67C3"/>
    <w:rsid w:val="001C6807"/>
    <w:rsid w:val="001C7503"/>
    <w:rsid w:val="001C7655"/>
    <w:rsid w:val="001C76F0"/>
    <w:rsid w:val="001C77D5"/>
    <w:rsid w:val="001C7A36"/>
    <w:rsid w:val="001C7FB7"/>
    <w:rsid w:val="001D0188"/>
    <w:rsid w:val="001D01A1"/>
    <w:rsid w:val="001D01B1"/>
    <w:rsid w:val="001D050D"/>
    <w:rsid w:val="001D0CB3"/>
    <w:rsid w:val="001D0E76"/>
    <w:rsid w:val="001D0EB1"/>
    <w:rsid w:val="001D11AE"/>
    <w:rsid w:val="001D12E7"/>
    <w:rsid w:val="001D1A96"/>
    <w:rsid w:val="001D1CED"/>
    <w:rsid w:val="001D309D"/>
    <w:rsid w:val="001D31D0"/>
    <w:rsid w:val="001D3B76"/>
    <w:rsid w:val="001D4711"/>
    <w:rsid w:val="001D5012"/>
    <w:rsid w:val="001D53AB"/>
    <w:rsid w:val="001D55A2"/>
    <w:rsid w:val="001D56A0"/>
    <w:rsid w:val="001D56BB"/>
    <w:rsid w:val="001D592F"/>
    <w:rsid w:val="001D5F16"/>
    <w:rsid w:val="001D60B3"/>
    <w:rsid w:val="001D6142"/>
    <w:rsid w:val="001D6200"/>
    <w:rsid w:val="001D62AA"/>
    <w:rsid w:val="001D6836"/>
    <w:rsid w:val="001D6871"/>
    <w:rsid w:val="001D69F2"/>
    <w:rsid w:val="001D79E4"/>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15E"/>
    <w:rsid w:val="001E62CA"/>
    <w:rsid w:val="001E66B3"/>
    <w:rsid w:val="001E6A74"/>
    <w:rsid w:val="001E6CDC"/>
    <w:rsid w:val="001E6D3A"/>
    <w:rsid w:val="001E6DD7"/>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A20"/>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C72"/>
    <w:rsid w:val="00201D53"/>
    <w:rsid w:val="00201DD6"/>
    <w:rsid w:val="0020210F"/>
    <w:rsid w:val="002022AC"/>
    <w:rsid w:val="002027A1"/>
    <w:rsid w:val="00203243"/>
    <w:rsid w:val="002038B5"/>
    <w:rsid w:val="0020400D"/>
    <w:rsid w:val="0020406E"/>
    <w:rsid w:val="002041AE"/>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9E"/>
    <w:rsid w:val="002143C4"/>
    <w:rsid w:val="00214A4F"/>
    <w:rsid w:val="00214FBC"/>
    <w:rsid w:val="00214FFA"/>
    <w:rsid w:val="002152E7"/>
    <w:rsid w:val="002156CC"/>
    <w:rsid w:val="002158CE"/>
    <w:rsid w:val="00215B55"/>
    <w:rsid w:val="0021689F"/>
    <w:rsid w:val="00216A86"/>
    <w:rsid w:val="00216D80"/>
    <w:rsid w:val="00216EA5"/>
    <w:rsid w:val="00217002"/>
    <w:rsid w:val="00217431"/>
    <w:rsid w:val="00217701"/>
    <w:rsid w:val="00217CAD"/>
    <w:rsid w:val="00217CBE"/>
    <w:rsid w:val="0022005C"/>
    <w:rsid w:val="002208C9"/>
    <w:rsid w:val="00220928"/>
    <w:rsid w:val="00221063"/>
    <w:rsid w:val="00221571"/>
    <w:rsid w:val="0022159C"/>
    <w:rsid w:val="00221603"/>
    <w:rsid w:val="0022164F"/>
    <w:rsid w:val="00221B3A"/>
    <w:rsid w:val="00221ED4"/>
    <w:rsid w:val="0022227E"/>
    <w:rsid w:val="0022279D"/>
    <w:rsid w:val="00222B96"/>
    <w:rsid w:val="00223751"/>
    <w:rsid w:val="00223850"/>
    <w:rsid w:val="00223B8B"/>
    <w:rsid w:val="0022407F"/>
    <w:rsid w:val="002242A3"/>
    <w:rsid w:val="00224555"/>
    <w:rsid w:val="00224E2B"/>
    <w:rsid w:val="00226706"/>
    <w:rsid w:val="0022705A"/>
    <w:rsid w:val="0022715F"/>
    <w:rsid w:val="002273C5"/>
    <w:rsid w:val="00227597"/>
    <w:rsid w:val="00230148"/>
    <w:rsid w:val="0023038A"/>
    <w:rsid w:val="00230977"/>
    <w:rsid w:val="002317A1"/>
    <w:rsid w:val="00231A72"/>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37B7A"/>
    <w:rsid w:val="002401FA"/>
    <w:rsid w:val="00240793"/>
    <w:rsid w:val="002410DA"/>
    <w:rsid w:val="00241B74"/>
    <w:rsid w:val="00241D8C"/>
    <w:rsid w:val="00241DBF"/>
    <w:rsid w:val="002421FB"/>
    <w:rsid w:val="00242406"/>
    <w:rsid w:val="002426E5"/>
    <w:rsid w:val="002426FE"/>
    <w:rsid w:val="0024303A"/>
    <w:rsid w:val="002437E6"/>
    <w:rsid w:val="00243B78"/>
    <w:rsid w:val="002442DD"/>
    <w:rsid w:val="00244956"/>
    <w:rsid w:val="0024519E"/>
    <w:rsid w:val="00245246"/>
    <w:rsid w:val="002453F3"/>
    <w:rsid w:val="00245603"/>
    <w:rsid w:val="002457C4"/>
    <w:rsid w:val="00245A97"/>
    <w:rsid w:val="00245DE6"/>
    <w:rsid w:val="00246051"/>
    <w:rsid w:val="00246137"/>
    <w:rsid w:val="00246245"/>
    <w:rsid w:val="0024643C"/>
    <w:rsid w:val="002464A7"/>
    <w:rsid w:val="002467CB"/>
    <w:rsid w:val="002468BE"/>
    <w:rsid w:val="00246D54"/>
    <w:rsid w:val="002473C0"/>
    <w:rsid w:val="002475A6"/>
    <w:rsid w:val="002475FE"/>
    <w:rsid w:val="002478B3"/>
    <w:rsid w:val="00247AD6"/>
    <w:rsid w:val="00247C54"/>
    <w:rsid w:val="00247D81"/>
    <w:rsid w:val="00247F46"/>
    <w:rsid w:val="00247FA8"/>
    <w:rsid w:val="00250096"/>
    <w:rsid w:val="00250575"/>
    <w:rsid w:val="00250C0A"/>
    <w:rsid w:val="00250D91"/>
    <w:rsid w:val="00251247"/>
    <w:rsid w:val="002518E3"/>
    <w:rsid w:val="00251A7C"/>
    <w:rsid w:val="00251D86"/>
    <w:rsid w:val="00252177"/>
    <w:rsid w:val="00252368"/>
    <w:rsid w:val="002526F3"/>
    <w:rsid w:val="00252738"/>
    <w:rsid w:val="002529AD"/>
    <w:rsid w:val="002531DC"/>
    <w:rsid w:val="002533DA"/>
    <w:rsid w:val="00254080"/>
    <w:rsid w:val="00254B03"/>
    <w:rsid w:val="00254BB4"/>
    <w:rsid w:val="00255174"/>
    <w:rsid w:val="00255214"/>
    <w:rsid w:val="00255CDA"/>
    <w:rsid w:val="002576A6"/>
    <w:rsid w:val="002579B1"/>
    <w:rsid w:val="00257B6E"/>
    <w:rsid w:val="00257B75"/>
    <w:rsid w:val="00257E6C"/>
    <w:rsid w:val="00260047"/>
    <w:rsid w:val="0026017B"/>
    <w:rsid w:val="002606F9"/>
    <w:rsid w:val="0026161F"/>
    <w:rsid w:val="00261E59"/>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A2D"/>
    <w:rsid w:val="00267D93"/>
    <w:rsid w:val="00267EDB"/>
    <w:rsid w:val="0027032D"/>
    <w:rsid w:val="0027074A"/>
    <w:rsid w:val="00270AF3"/>
    <w:rsid w:val="002716B2"/>
    <w:rsid w:val="00271732"/>
    <w:rsid w:val="002724E0"/>
    <w:rsid w:val="002727FB"/>
    <w:rsid w:val="00272A47"/>
    <w:rsid w:val="0027344E"/>
    <w:rsid w:val="0027347E"/>
    <w:rsid w:val="00273E15"/>
    <w:rsid w:val="0027405C"/>
    <w:rsid w:val="0027409B"/>
    <w:rsid w:val="00274341"/>
    <w:rsid w:val="00275167"/>
    <w:rsid w:val="002754DA"/>
    <w:rsid w:val="00275C1F"/>
    <w:rsid w:val="00275DA9"/>
    <w:rsid w:val="0027641A"/>
    <w:rsid w:val="002766BB"/>
    <w:rsid w:val="00276912"/>
    <w:rsid w:val="00276B0B"/>
    <w:rsid w:val="00276B3E"/>
    <w:rsid w:val="00276E4C"/>
    <w:rsid w:val="00277290"/>
    <w:rsid w:val="0027745A"/>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AD4"/>
    <w:rsid w:val="00283B84"/>
    <w:rsid w:val="00284079"/>
    <w:rsid w:val="00284BFD"/>
    <w:rsid w:val="00284D5F"/>
    <w:rsid w:val="00284E0C"/>
    <w:rsid w:val="00284FC1"/>
    <w:rsid w:val="002852C5"/>
    <w:rsid w:val="00285467"/>
    <w:rsid w:val="002854D2"/>
    <w:rsid w:val="002858B2"/>
    <w:rsid w:val="00285B81"/>
    <w:rsid w:val="00286AF8"/>
    <w:rsid w:val="00286F69"/>
    <w:rsid w:val="002875EE"/>
    <w:rsid w:val="002876F6"/>
    <w:rsid w:val="0028771F"/>
    <w:rsid w:val="00287CE2"/>
    <w:rsid w:val="002903F0"/>
    <w:rsid w:val="00290609"/>
    <w:rsid w:val="0029076D"/>
    <w:rsid w:val="00290D20"/>
    <w:rsid w:val="00290D5F"/>
    <w:rsid w:val="00290DDC"/>
    <w:rsid w:val="00291131"/>
    <w:rsid w:val="00291150"/>
    <w:rsid w:val="0029118C"/>
    <w:rsid w:val="00291980"/>
    <w:rsid w:val="00292113"/>
    <w:rsid w:val="00292AC6"/>
    <w:rsid w:val="0029306E"/>
    <w:rsid w:val="002930BA"/>
    <w:rsid w:val="0029468A"/>
    <w:rsid w:val="00294936"/>
    <w:rsid w:val="00294BA0"/>
    <w:rsid w:val="002955B4"/>
    <w:rsid w:val="00295715"/>
    <w:rsid w:val="0029578C"/>
    <w:rsid w:val="00295AE3"/>
    <w:rsid w:val="00296045"/>
    <w:rsid w:val="0029626E"/>
    <w:rsid w:val="0029677D"/>
    <w:rsid w:val="00296A1D"/>
    <w:rsid w:val="00296BFF"/>
    <w:rsid w:val="00297779"/>
    <w:rsid w:val="0029786F"/>
    <w:rsid w:val="00297B7A"/>
    <w:rsid w:val="002A0D40"/>
    <w:rsid w:val="002A0E77"/>
    <w:rsid w:val="002A1E11"/>
    <w:rsid w:val="002A20AF"/>
    <w:rsid w:val="002A2177"/>
    <w:rsid w:val="002A2F48"/>
    <w:rsid w:val="002A30C5"/>
    <w:rsid w:val="002A3436"/>
    <w:rsid w:val="002A4181"/>
    <w:rsid w:val="002A438F"/>
    <w:rsid w:val="002A461E"/>
    <w:rsid w:val="002A46B0"/>
    <w:rsid w:val="002A4807"/>
    <w:rsid w:val="002A49D4"/>
    <w:rsid w:val="002A4F26"/>
    <w:rsid w:val="002A50F0"/>
    <w:rsid w:val="002A51B9"/>
    <w:rsid w:val="002A55E3"/>
    <w:rsid w:val="002A589D"/>
    <w:rsid w:val="002A5EA7"/>
    <w:rsid w:val="002A5F5F"/>
    <w:rsid w:val="002A689C"/>
    <w:rsid w:val="002A6B42"/>
    <w:rsid w:val="002A6CF3"/>
    <w:rsid w:val="002A7329"/>
    <w:rsid w:val="002A7F87"/>
    <w:rsid w:val="002B039B"/>
    <w:rsid w:val="002B0451"/>
    <w:rsid w:val="002B0958"/>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1B1"/>
    <w:rsid w:val="002B4748"/>
    <w:rsid w:val="002B480F"/>
    <w:rsid w:val="002B4B2E"/>
    <w:rsid w:val="002B511D"/>
    <w:rsid w:val="002B53A1"/>
    <w:rsid w:val="002B5926"/>
    <w:rsid w:val="002B6801"/>
    <w:rsid w:val="002B6BBC"/>
    <w:rsid w:val="002B75A2"/>
    <w:rsid w:val="002B77A0"/>
    <w:rsid w:val="002B785F"/>
    <w:rsid w:val="002B7A35"/>
    <w:rsid w:val="002B7C1F"/>
    <w:rsid w:val="002C00F2"/>
    <w:rsid w:val="002C0784"/>
    <w:rsid w:val="002C0C5A"/>
    <w:rsid w:val="002C0C99"/>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077"/>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133"/>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E7B1C"/>
    <w:rsid w:val="002F03A4"/>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4EE0"/>
    <w:rsid w:val="002F5487"/>
    <w:rsid w:val="002F585C"/>
    <w:rsid w:val="002F5C15"/>
    <w:rsid w:val="002F61AB"/>
    <w:rsid w:val="002F61D5"/>
    <w:rsid w:val="002F65DA"/>
    <w:rsid w:val="002F667F"/>
    <w:rsid w:val="002F714D"/>
    <w:rsid w:val="002F77F9"/>
    <w:rsid w:val="00300428"/>
    <w:rsid w:val="00300534"/>
    <w:rsid w:val="003009ED"/>
    <w:rsid w:val="00300A2F"/>
    <w:rsid w:val="00300ECF"/>
    <w:rsid w:val="00300FB4"/>
    <w:rsid w:val="00301B82"/>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1BF0"/>
    <w:rsid w:val="00322547"/>
    <w:rsid w:val="00322EE5"/>
    <w:rsid w:val="00322F85"/>
    <w:rsid w:val="003230D0"/>
    <w:rsid w:val="00323207"/>
    <w:rsid w:val="003234A3"/>
    <w:rsid w:val="003237B8"/>
    <w:rsid w:val="00323907"/>
    <w:rsid w:val="003239E1"/>
    <w:rsid w:val="00323A1E"/>
    <w:rsid w:val="00323C96"/>
    <w:rsid w:val="00324832"/>
    <w:rsid w:val="0032507F"/>
    <w:rsid w:val="003257E5"/>
    <w:rsid w:val="00325C0A"/>
    <w:rsid w:val="00325E85"/>
    <w:rsid w:val="003260A6"/>
    <w:rsid w:val="003263AB"/>
    <w:rsid w:val="003263F6"/>
    <w:rsid w:val="00326496"/>
    <w:rsid w:val="003266F1"/>
    <w:rsid w:val="00326E17"/>
    <w:rsid w:val="00327238"/>
    <w:rsid w:val="0032796A"/>
    <w:rsid w:val="00327F04"/>
    <w:rsid w:val="00330186"/>
    <w:rsid w:val="003301AD"/>
    <w:rsid w:val="0033075F"/>
    <w:rsid w:val="00330F8C"/>
    <w:rsid w:val="003315CE"/>
    <w:rsid w:val="00331C9D"/>
    <w:rsid w:val="00331E83"/>
    <w:rsid w:val="00331F98"/>
    <w:rsid w:val="003320F6"/>
    <w:rsid w:val="0033315D"/>
    <w:rsid w:val="00333976"/>
    <w:rsid w:val="003339D7"/>
    <w:rsid w:val="00333B35"/>
    <w:rsid w:val="0033431A"/>
    <w:rsid w:val="00334EB9"/>
    <w:rsid w:val="00335121"/>
    <w:rsid w:val="00335223"/>
    <w:rsid w:val="00335827"/>
    <w:rsid w:val="0033613B"/>
    <w:rsid w:val="0033616B"/>
    <w:rsid w:val="00336406"/>
    <w:rsid w:val="00336601"/>
    <w:rsid w:val="00336D33"/>
    <w:rsid w:val="00336E10"/>
    <w:rsid w:val="0033775B"/>
    <w:rsid w:val="00337CDA"/>
    <w:rsid w:val="00337FC6"/>
    <w:rsid w:val="00340235"/>
    <w:rsid w:val="00340554"/>
    <w:rsid w:val="00340FCB"/>
    <w:rsid w:val="00341395"/>
    <w:rsid w:val="00342299"/>
    <w:rsid w:val="00342554"/>
    <w:rsid w:val="003425C3"/>
    <w:rsid w:val="00342681"/>
    <w:rsid w:val="00342ABA"/>
    <w:rsid w:val="0034363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D72"/>
    <w:rsid w:val="00347716"/>
    <w:rsid w:val="00347EE4"/>
    <w:rsid w:val="003503B6"/>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4F11"/>
    <w:rsid w:val="00355791"/>
    <w:rsid w:val="00355AF6"/>
    <w:rsid w:val="0035625F"/>
    <w:rsid w:val="00356548"/>
    <w:rsid w:val="003567AE"/>
    <w:rsid w:val="00356F93"/>
    <w:rsid w:val="003575A7"/>
    <w:rsid w:val="003575EE"/>
    <w:rsid w:val="00357A3C"/>
    <w:rsid w:val="00357B3F"/>
    <w:rsid w:val="00357FD5"/>
    <w:rsid w:val="0036018D"/>
    <w:rsid w:val="003607B0"/>
    <w:rsid w:val="00360C98"/>
    <w:rsid w:val="00360E5B"/>
    <w:rsid w:val="003610F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0E4"/>
    <w:rsid w:val="00367B83"/>
    <w:rsid w:val="00367D26"/>
    <w:rsid w:val="00367F51"/>
    <w:rsid w:val="0037021B"/>
    <w:rsid w:val="003706EC"/>
    <w:rsid w:val="00370CB6"/>
    <w:rsid w:val="00370DAF"/>
    <w:rsid w:val="00371216"/>
    <w:rsid w:val="00371924"/>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77FAB"/>
    <w:rsid w:val="0038089D"/>
    <w:rsid w:val="003808AE"/>
    <w:rsid w:val="00380A36"/>
    <w:rsid w:val="00380AFE"/>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3E06"/>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0DF"/>
    <w:rsid w:val="00387142"/>
    <w:rsid w:val="003871F3"/>
    <w:rsid w:val="0038757B"/>
    <w:rsid w:val="0038773F"/>
    <w:rsid w:val="00390384"/>
    <w:rsid w:val="00390B38"/>
    <w:rsid w:val="003920C6"/>
    <w:rsid w:val="003922FB"/>
    <w:rsid w:val="00392D0A"/>
    <w:rsid w:val="00393248"/>
    <w:rsid w:val="003938D4"/>
    <w:rsid w:val="00393D7D"/>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A41"/>
    <w:rsid w:val="003B2DAA"/>
    <w:rsid w:val="003B35A7"/>
    <w:rsid w:val="003B3A67"/>
    <w:rsid w:val="003B3F93"/>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2A24"/>
    <w:rsid w:val="003C3157"/>
    <w:rsid w:val="003C34FD"/>
    <w:rsid w:val="003C35B3"/>
    <w:rsid w:val="003C39D8"/>
    <w:rsid w:val="003C3E95"/>
    <w:rsid w:val="003C3F75"/>
    <w:rsid w:val="003C46FD"/>
    <w:rsid w:val="003C49A6"/>
    <w:rsid w:val="003C49F1"/>
    <w:rsid w:val="003C4C01"/>
    <w:rsid w:val="003C4F89"/>
    <w:rsid w:val="003C54F4"/>
    <w:rsid w:val="003C55F8"/>
    <w:rsid w:val="003C5D4E"/>
    <w:rsid w:val="003C5DFD"/>
    <w:rsid w:val="003C6268"/>
    <w:rsid w:val="003C6369"/>
    <w:rsid w:val="003C68F5"/>
    <w:rsid w:val="003C69EB"/>
    <w:rsid w:val="003C73EE"/>
    <w:rsid w:val="003C7AA5"/>
    <w:rsid w:val="003D035D"/>
    <w:rsid w:val="003D05D2"/>
    <w:rsid w:val="003D1038"/>
    <w:rsid w:val="003D1152"/>
    <w:rsid w:val="003D1215"/>
    <w:rsid w:val="003D16BB"/>
    <w:rsid w:val="003D1DF7"/>
    <w:rsid w:val="003D2485"/>
    <w:rsid w:val="003D31CB"/>
    <w:rsid w:val="003D3521"/>
    <w:rsid w:val="003D3817"/>
    <w:rsid w:val="003D3F6E"/>
    <w:rsid w:val="003D4086"/>
    <w:rsid w:val="003D4769"/>
    <w:rsid w:val="003D47E8"/>
    <w:rsid w:val="003D4CF7"/>
    <w:rsid w:val="003D4F39"/>
    <w:rsid w:val="003D50CB"/>
    <w:rsid w:val="003D566C"/>
    <w:rsid w:val="003D5FD4"/>
    <w:rsid w:val="003D617D"/>
    <w:rsid w:val="003D663B"/>
    <w:rsid w:val="003D6ABC"/>
    <w:rsid w:val="003D712B"/>
    <w:rsid w:val="003D728A"/>
    <w:rsid w:val="003D7387"/>
    <w:rsid w:val="003E00BB"/>
    <w:rsid w:val="003E02EA"/>
    <w:rsid w:val="003E0CEE"/>
    <w:rsid w:val="003E1493"/>
    <w:rsid w:val="003E2A7E"/>
    <w:rsid w:val="003E2D05"/>
    <w:rsid w:val="003E3057"/>
    <w:rsid w:val="003E32BF"/>
    <w:rsid w:val="003E344A"/>
    <w:rsid w:val="003E3826"/>
    <w:rsid w:val="003E3A68"/>
    <w:rsid w:val="003E462B"/>
    <w:rsid w:val="003E4657"/>
    <w:rsid w:val="003E481A"/>
    <w:rsid w:val="003E4D31"/>
    <w:rsid w:val="003E50F0"/>
    <w:rsid w:val="003E51C1"/>
    <w:rsid w:val="003E52A3"/>
    <w:rsid w:val="003E5581"/>
    <w:rsid w:val="003E55F8"/>
    <w:rsid w:val="003E5629"/>
    <w:rsid w:val="003E5EB1"/>
    <w:rsid w:val="003E669F"/>
    <w:rsid w:val="003E6CC8"/>
    <w:rsid w:val="003E6FD3"/>
    <w:rsid w:val="003E72EE"/>
    <w:rsid w:val="003E7659"/>
    <w:rsid w:val="003E76EE"/>
    <w:rsid w:val="003E78FA"/>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547"/>
    <w:rsid w:val="003F7BE6"/>
    <w:rsid w:val="004004DD"/>
    <w:rsid w:val="00400DE3"/>
    <w:rsid w:val="00400FC6"/>
    <w:rsid w:val="00400FFC"/>
    <w:rsid w:val="0040159E"/>
    <w:rsid w:val="00401687"/>
    <w:rsid w:val="00401EF0"/>
    <w:rsid w:val="00402112"/>
    <w:rsid w:val="00402E43"/>
    <w:rsid w:val="0040310A"/>
    <w:rsid w:val="0040324D"/>
    <w:rsid w:val="004035D1"/>
    <w:rsid w:val="0040465B"/>
    <w:rsid w:val="00404804"/>
    <w:rsid w:val="00404EFC"/>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F6"/>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018"/>
    <w:rsid w:val="0043339D"/>
    <w:rsid w:val="0043356A"/>
    <w:rsid w:val="00433B53"/>
    <w:rsid w:val="00433F90"/>
    <w:rsid w:val="004349EA"/>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8EC"/>
    <w:rsid w:val="00452A98"/>
    <w:rsid w:val="00452BDA"/>
    <w:rsid w:val="00453174"/>
    <w:rsid w:val="00453750"/>
    <w:rsid w:val="004537CF"/>
    <w:rsid w:val="00453816"/>
    <w:rsid w:val="004539FC"/>
    <w:rsid w:val="00453AE2"/>
    <w:rsid w:val="0045428B"/>
    <w:rsid w:val="00454577"/>
    <w:rsid w:val="0045461E"/>
    <w:rsid w:val="004546E5"/>
    <w:rsid w:val="004547F0"/>
    <w:rsid w:val="00454D4A"/>
    <w:rsid w:val="00455105"/>
    <w:rsid w:val="004551BC"/>
    <w:rsid w:val="004554B7"/>
    <w:rsid w:val="00455625"/>
    <w:rsid w:val="004563D8"/>
    <w:rsid w:val="00456454"/>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3D3A"/>
    <w:rsid w:val="00463E8B"/>
    <w:rsid w:val="00464136"/>
    <w:rsid w:val="00464530"/>
    <w:rsid w:val="00464CC8"/>
    <w:rsid w:val="00464FA2"/>
    <w:rsid w:val="00465447"/>
    <w:rsid w:val="00465C06"/>
    <w:rsid w:val="00465E29"/>
    <w:rsid w:val="0046633C"/>
    <w:rsid w:val="0046700B"/>
    <w:rsid w:val="0047048A"/>
    <w:rsid w:val="00470CD5"/>
    <w:rsid w:val="00470D03"/>
    <w:rsid w:val="004717E8"/>
    <w:rsid w:val="004718D8"/>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4C6"/>
    <w:rsid w:val="0047560F"/>
    <w:rsid w:val="004762AB"/>
    <w:rsid w:val="00476842"/>
    <w:rsid w:val="00476B38"/>
    <w:rsid w:val="00476FF6"/>
    <w:rsid w:val="00477118"/>
    <w:rsid w:val="004772F0"/>
    <w:rsid w:val="00477E83"/>
    <w:rsid w:val="00477FE3"/>
    <w:rsid w:val="004800BF"/>
    <w:rsid w:val="00480584"/>
    <w:rsid w:val="004819F0"/>
    <w:rsid w:val="00481DE9"/>
    <w:rsid w:val="004825B2"/>
    <w:rsid w:val="00482B81"/>
    <w:rsid w:val="00482F1E"/>
    <w:rsid w:val="00483577"/>
    <w:rsid w:val="004835E4"/>
    <w:rsid w:val="00484A89"/>
    <w:rsid w:val="00484FD7"/>
    <w:rsid w:val="004853E5"/>
    <w:rsid w:val="00486046"/>
    <w:rsid w:val="004868E9"/>
    <w:rsid w:val="00486AE8"/>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455"/>
    <w:rsid w:val="004935A9"/>
    <w:rsid w:val="00493B57"/>
    <w:rsid w:val="00493EB7"/>
    <w:rsid w:val="0049405E"/>
    <w:rsid w:val="00494655"/>
    <w:rsid w:val="00494AC5"/>
    <w:rsid w:val="00495118"/>
    <w:rsid w:val="00495917"/>
    <w:rsid w:val="00496455"/>
    <w:rsid w:val="004965DB"/>
    <w:rsid w:val="00496BAB"/>
    <w:rsid w:val="00496E45"/>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0D4"/>
    <w:rsid w:val="004A3117"/>
    <w:rsid w:val="004A3199"/>
    <w:rsid w:val="004A4187"/>
    <w:rsid w:val="004A4313"/>
    <w:rsid w:val="004A4813"/>
    <w:rsid w:val="004A48B2"/>
    <w:rsid w:val="004A4DA8"/>
    <w:rsid w:val="004A62A0"/>
    <w:rsid w:val="004A68EB"/>
    <w:rsid w:val="004A6F98"/>
    <w:rsid w:val="004A7749"/>
    <w:rsid w:val="004B030C"/>
    <w:rsid w:val="004B03E6"/>
    <w:rsid w:val="004B0B9B"/>
    <w:rsid w:val="004B0E52"/>
    <w:rsid w:val="004B107F"/>
    <w:rsid w:val="004B1273"/>
    <w:rsid w:val="004B150C"/>
    <w:rsid w:val="004B1B16"/>
    <w:rsid w:val="004B1F2B"/>
    <w:rsid w:val="004B22F9"/>
    <w:rsid w:val="004B2A85"/>
    <w:rsid w:val="004B2AD8"/>
    <w:rsid w:val="004B3166"/>
    <w:rsid w:val="004B33AB"/>
    <w:rsid w:val="004B356F"/>
    <w:rsid w:val="004B3644"/>
    <w:rsid w:val="004B378F"/>
    <w:rsid w:val="004B3D05"/>
    <w:rsid w:val="004B3D84"/>
    <w:rsid w:val="004B469B"/>
    <w:rsid w:val="004B49BF"/>
    <w:rsid w:val="004B4E44"/>
    <w:rsid w:val="004B4F68"/>
    <w:rsid w:val="004B506E"/>
    <w:rsid w:val="004B51ED"/>
    <w:rsid w:val="004B5447"/>
    <w:rsid w:val="004B5499"/>
    <w:rsid w:val="004B5611"/>
    <w:rsid w:val="004B5705"/>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1D9"/>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8D5"/>
    <w:rsid w:val="004C4B5E"/>
    <w:rsid w:val="004C50A6"/>
    <w:rsid w:val="004C552B"/>
    <w:rsid w:val="004C56F7"/>
    <w:rsid w:val="004C5C5B"/>
    <w:rsid w:val="004C6021"/>
    <w:rsid w:val="004C71AC"/>
    <w:rsid w:val="004C76EA"/>
    <w:rsid w:val="004D0825"/>
    <w:rsid w:val="004D0F41"/>
    <w:rsid w:val="004D11F7"/>
    <w:rsid w:val="004D1575"/>
    <w:rsid w:val="004D1586"/>
    <w:rsid w:val="004D16C0"/>
    <w:rsid w:val="004D1757"/>
    <w:rsid w:val="004D17C3"/>
    <w:rsid w:val="004D19BA"/>
    <w:rsid w:val="004D1A4E"/>
    <w:rsid w:val="004D1E5A"/>
    <w:rsid w:val="004D215F"/>
    <w:rsid w:val="004D2769"/>
    <w:rsid w:val="004D27A6"/>
    <w:rsid w:val="004D29FA"/>
    <w:rsid w:val="004D2CD8"/>
    <w:rsid w:val="004D39D5"/>
    <w:rsid w:val="004D3B16"/>
    <w:rsid w:val="004D3B51"/>
    <w:rsid w:val="004D4327"/>
    <w:rsid w:val="004D437D"/>
    <w:rsid w:val="004D4761"/>
    <w:rsid w:val="004D4AD6"/>
    <w:rsid w:val="004D4FD5"/>
    <w:rsid w:val="004D504E"/>
    <w:rsid w:val="004D52A5"/>
    <w:rsid w:val="004D53F2"/>
    <w:rsid w:val="004D5415"/>
    <w:rsid w:val="004D54A5"/>
    <w:rsid w:val="004D57BF"/>
    <w:rsid w:val="004D5C17"/>
    <w:rsid w:val="004D6538"/>
    <w:rsid w:val="004D7046"/>
    <w:rsid w:val="004D7B14"/>
    <w:rsid w:val="004D7B25"/>
    <w:rsid w:val="004D7DC7"/>
    <w:rsid w:val="004E01AE"/>
    <w:rsid w:val="004E05A5"/>
    <w:rsid w:val="004E065F"/>
    <w:rsid w:val="004E0C62"/>
    <w:rsid w:val="004E0D92"/>
    <w:rsid w:val="004E1855"/>
    <w:rsid w:val="004E1C1B"/>
    <w:rsid w:val="004E22D5"/>
    <w:rsid w:val="004E3C56"/>
    <w:rsid w:val="004E3FF2"/>
    <w:rsid w:val="004E40BE"/>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66E"/>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785"/>
    <w:rsid w:val="00503C10"/>
    <w:rsid w:val="00504060"/>
    <w:rsid w:val="00504360"/>
    <w:rsid w:val="005045A1"/>
    <w:rsid w:val="00505930"/>
    <w:rsid w:val="00505CCD"/>
    <w:rsid w:val="00505DA9"/>
    <w:rsid w:val="00505E6E"/>
    <w:rsid w:val="005061F3"/>
    <w:rsid w:val="00506A78"/>
    <w:rsid w:val="00506C7D"/>
    <w:rsid w:val="005074F1"/>
    <w:rsid w:val="005075BA"/>
    <w:rsid w:val="00507951"/>
    <w:rsid w:val="00507C88"/>
    <w:rsid w:val="005101DB"/>
    <w:rsid w:val="00510575"/>
    <w:rsid w:val="00510A35"/>
    <w:rsid w:val="00510C03"/>
    <w:rsid w:val="005113D4"/>
    <w:rsid w:val="0051147C"/>
    <w:rsid w:val="0051153C"/>
    <w:rsid w:val="00511C47"/>
    <w:rsid w:val="00511FFE"/>
    <w:rsid w:val="005128B6"/>
    <w:rsid w:val="005128D4"/>
    <w:rsid w:val="00512CAD"/>
    <w:rsid w:val="00512D11"/>
    <w:rsid w:val="00512F1D"/>
    <w:rsid w:val="005132AA"/>
    <w:rsid w:val="0051363A"/>
    <w:rsid w:val="00513D37"/>
    <w:rsid w:val="00513DBC"/>
    <w:rsid w:val="00513F90"/>
    <w:rsid w:val="00514664"/>
    <w:rsid w:val="0051544B"/>
    <w:rsid w:val="00515519"/>
    <w:rsid w:val="005155DC"/>
    <w:rsid w:val="00515646"/>
    <w:rsid w:val="00515A0F"/>
    <w:rsid w:val="00515AA5"/>
    <w:rsid w:val="0051668F"/>
    <w:rsid w:val="005166EE"/>
    <w:rsid w:val="00516ABB"/>
    <w:rsid w:val="00517571"/>
    <w:rsid w:val="00517687"/>
    <w:rsid w:val="005178AE"/>
    <w:rsid w:val="00517CBA"/>
    <w:rsid w:val="00517DB9"/>
    <w:rsid w:val="005206C1"/>
    <w:rsid w:val="00520A84"/>
    <w:rsid w:val="00521269"/>
    <w:rsid w:val="0052139F"/>
    <w:rsid w:val="00521442"/>
    <w:rsid w:val="005221B8"/>
    <w:rsid w:val="005227C3"/>
    <w:rsid w:val="00522CB7"/>
    <w:rsid w:val="00522F19"/>
    <w:rsid w:val="005230F3"/>
    <w:rsid w:val="00523613"/>
    <w:rsid w:val="005237AF"/>
    <w:rsid w:val="005239A5"/>
    <w:rsid w:val="00523ECD"/>
    <w:rsid w:val="00524018"/>
    <w:rsid w:val="00524397"/>
    <w:rsid w:val="005244CC"/>
    <w:rsid w:val="00524654"/>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3B81"/>
    <w:rsid w:val="005340D1"/>
    <w:rsid w:val="00534239"/>
    <w:rsid w:val="005345D8"/>
    <w:rsid w:val="005349D6"/>
    <w:rsid w:val="005349F6"/>
    <w:rsid w:val="00534A63"/>
    <w:rsid w:val="00534D28"/>
    <w:rsid w:val="00535437"/>
    <w:rsid w:val="005354B8"/>
    <w:rsid w:val="005356B8"/>
    <w:rsid w:val="005357C7"/>
    <w:rsid w:val="005359D7"/>
    <w:rsid w:val="00535AA5"/>
    <w:rsid w:val="00535F91"/>
    <w:rsid w:val="005366C1"/>
    <w:rsid w:val="00536914"/>
    <w:rsid w:val="0053727B"/>
    <w:rsid w:val="005377E0"/>
    <w:rsid w:val="0053795B"/>
    <w:rsid w:val="00537BAC"/>
    <w:rsid w:val="00537CF2"/>
    <w:rsid w:val="00537E38"/>
    <w:rsid w:val="00537F5F"/>
    <w:rsid w:val="005402E6"/>
    <w:rsid w:val="005402F0"/>
    <w:rsid w:val="00540428"/>
    <w:rsid w:val="0054048B"/>
    <w:rsid w:val="00540AAE"/>
    <w:rsid w:val="00540AE8"/>
    <w:rsid w:val="00540B00"/>
    <w:rsid w:val="00540C10"/>
    <w:rsid w:val="00540E6F"/>
    <w:rsid w:val="00540F84"/>
    <w:rsid w:val="00541351"/>
    <w:rsid w:val="00541844"/>
    <w:rsid w:val="00541851"/>
    <w:rsid w:val="00541A81"/>
    <w:rsid w:val="00541CE6"/>
    <w:rsid w:val="00541D2B"/>
    <w:rsid w:val="00541DE4"/>
    <w:rsid w:val="0054238D"/>
    <w:rsid w:val="005425F9"/>
    <w:rsid w:val="00542E96"/>
    <w:rsid w:val="005430F9"/>
    <w:rsid w:val="00543741"/>
    <w:rsid w:val="00543785"/>
    <w:rsid w:val="00543D62"/>
    <w:rsid w:val="0054409E"/>
    <w:rsid w:val="00544584"/>
    <w:rsid w:val="00544620"/>
    <w:rsid w:val="0054482D"/>
    <w:rsid w:val="00544AE8"/>
    <w:rsid w:val="00544C65"/>
    <w:rsid w:val="00544EBA"/>
    <w:rsid w:val="005450D1"/>
    <w:rsid w:val="00545175"/>
    <w:rsid w:val="00545614"/>
    <w:rsid w:val="005459CF"/>
    <w:rsid w:val="00546459"/>
    <w:rsid w:val="00546699"/>
    <w:rsid w:val="00546E18"/>
    <w:rsid w:val="00547060"/>
    <w:rsid w:val="00547874"/>
    <w:rsid w:val="005502DC"/>
    <w:rsid w:val="0055049C"/>
    <w:rsid w:val="00550B17"/>
    <w:rsid w:val="00551928"/>
    <w:rsid w:val="00552039"/>
    <w:rsid w:val="00552178"/>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19B"/>
    <w:rsid w:val="005554AD"/>
    <w:rsid w:val="00555A5B"/>
    <w:rsid w:val="00556494"/>
    <w:rsid w:val="005568E0"/>
    <w:rsid w:val="00556C2E"/>
    <w:rsid w:val="00556D79"/>
    <w:rsid w:val="00556E5F"/>
    <w:rsid w:val="005574F0"/>
    <w:rsid w:val="005575CD"/>
    <w:rsid w:val="00557E7C"/>
    <w:rsid w:val="00560263"/>
    <w:rsid w:val="00560669"/>
    <w:rsid w:val="005606F1"/>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A29"/>
    <w:rsid w:val="0056753C"/>
    <w:rsid w:val="00567A81"/>
    <w:rsid w:val="005700CD"/>
    <w:rsid w:val="005701BC"/>
    <w:rsid w:val="00570B24"/>
    <w:rsid w:val="00570E24"/>
    <w:rsid w:val="00570E47"/>
    <w:rsid w:val="00570F1C"/>
    <w:rsid w:val="0057140E"/>
    <w:rsid w:val="00571DBF"/>
    <w:rsid w:val="005721C6"/>
    <w:rsid w:val="00572A07"/>
    <w:rsid w:val="00572BF5"/>
    <w:rsid w:val="00572D2E"/>
    <w:rsid w:val="005730FF"/>
    <w:rsid w:val="0057332C"/>
    <w:rsid w:val="00573AB7"/>
    <w:rsid w:val="00573F98"/>
    <w:rsid w:val="00574003"/>
    <w:rsid w:val="005742D6"/>
    <w:rsid w:val="0057445B"/>
    <w:rsid w:val="0057447F"/>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77F16"/>
    <w:rsid w:val="005800F2"/>
    <w:rsid w:val="005806F1"/>
    <w:rsid w:val="00580820"/>
    <w:rsid w:val="00580AFD"/>
    <w:rsid w:val="00580EFF"/>
    <w:rsid w:val="0058192D"/>
    <w:rsid w:val="0058229E"/>
    <w:rsid w:val="005828EE"/>
    <w:rsid w:val="00582ADB"/>
    <w:rsid w:val="00582B72"/>
    <w:rsid w:val="005830F8"/>
    <w:rsid w:val="00583736"/>
    <w:rsid w:val="00583E69"/>
    <w:rsid w:val="00583F80"/>
    <w:rsid w:val="00584313"/>
    <w:rsid w:val="00584A61"/>
    <w:rsid w:val="00585707"/>
    <w:rsid w:val="00585988"/>
    <w:rsid w:val="005859BC"/>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648"/>
    <w:rsid w:val="00592940"/>
    <w:rsid w:val="00592C26"/>
    <w:rsid w:val="00592CB1"/>
    <w:rsid w:val="00593AF9"/>
    <w:rsid w:val="00594396"/>
    <w:rsid w:val="00594488"/>
    <w:rsid w:val="0059463B"/>
    <w:rsid w:val="00594B07"/>
    <w:rsid w:val="00594C15"/>
    <w:rsid w:val="00595A40"/>
    <w:rsid w:val="00595EA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C2E"/>
    <w:rsid w:val="005A0EF1"/>
    <w:rsid w:val="005A13E7"/>
    <w:rsid w:val="005A143C"/>
    <w:rsid w:val="005A18B4"/>
    <w:rsid w:val="005A1A56"/>
    <w:rsid w:val="005A1C8E"/>
    <w:rsid w:val="005A2097"/>
    <w:rsid w:val="005A23F7"/>
    <w:rsid w:val="005A2525"/>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11C"/>
    <w:rsid w:val="005B776C"/>
    <w:rsid w:val="005B77A0"/>
    <w:rsid w:val="005B7BD7"/>
    <w:rsid w:val="005B7D2C"/>
    <w:rsid w:val="005B7EE3"/>
    <w:rsid w:val="005B7F18"/>
    <w:rsid w:val="005C0023"/>
    <w:rsid w:val="005C0843"/>
    <w:rsid w:val="005C0E08"/>
    <w:rsid w:val="005C1293"/>
    <w:rsid w:val="005C1C73"/>
    <w:rsid w:val="005C2767"/>
    <w:rsid w:val="005C2E9D"/>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C7E05"/>
    <w:rsid w:val="005D0959"/>
    <w:rsid w:val="005D0D07"/>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311"/>
    <w:rsid w:val="005E0755"/>
    <w:rsid w:val="005E0F43"/>
    <w:rsid w:val="005E135B"/>
    <w:rsid w:val="005E13DC"/>
    <w:rsid w:val="005E1BB1"/>
    <w:rsid w:val="005E1F24"/>
    <w:rsid w:val="005E205B"/>
    <w:rsid w:val="005E293D"/>
    <w:rsid w:val="005E2E3C"/>
    <w:rsid w:val="005E2F95"/>
    <w:rsid w:val="005E3716"/>
    <w:rsid w:val="005E3FF5"/>
    <w:rsid w:val="005E4215"/>
    <w:rsid w:val="005E44FB"/>
    <w:rsid w:val="005E4625"/>
    <w:rsid w:val="005E4BD6"/>
    <w:rsid w:val="005E4FA2"/>
    <w:rsid w:val="005E5576"/>
    <w:rsid w:val="005E58CC"/>
    <w:rsid w:val="005E59B7"/>
    <w:rsid w:val="005E622C"/>
    <w:rsid w:val="005E6242"/>
    <w:rsid w:val="005E677D"/>
    <w:rsid w:val="005E68B7"/>
    <w:rsid w:val="005E6A08"/>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4FB0"/>
    <w:rsid w:val="005F524F"/>
    <w:rsid w:val="005F6029"/>
    <w:rsid w:val="005F60E7"/>
    <w:rsid w:val="005F6717"/>
    <w:rsid w:val="005F6A3B"/>
    <w:rsid w:val="005F7166"/>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7156"/>
    <w:rsid w:val="0060754E"/>
    <w:rsid w:val="00607836"/>
    <w:rsid w:val="00610438"/>
    <w:rsid w:val="0061099C"/>
    <w:rsid w:val="00611B56"/>
    <w:rsid w:val="0061201C"/>
    <w:rsid w:val="0061227A"/>
    <w:rsid w:val="00612964"/>
    <w:rsid w:val="00613271"/>
    <w:rsid w:val="0061338C"/>
    <w:rsid w:val="0061339E"/>
    <w:rsid w:val="00613531"/>
    <w:rsid w:val="00613A0F"/>
    <w:rsid w:val="00613BA9"/>
    <w:rsid w:val="00614265"/>
    <w:rsid w:val="006144D8"/>
    <w:rsid w:val="0061494F"/>
    <w:rsid w:val="00615EBF"/>
    <w:rsid w:val="0061696E"/>
    <w:rsid w:val="00617147"/>
    <w:rsid w:val="00617951"/>
    <w:rsid w:val="00617A02"/>
    <w:rsid w:val="00617A14"/>
    <w:rsid w:val="00617BD0"/>
    <w:rsid w:val="006200D6"/>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59"/>
    <w:rsid w:val="006273C4"/>
    <w:rsid w:val="00627D5C"/>
    <w:rsid w:val="00627D77"/>
    <w:rsid w:val="00630249"/>
    <w:rsid w:val="006302F0"/>
    <w:rsid w:val="00630482"/>
    <w:rsid w:val="00630CAF"/>
    <w:rsid w:val="00631596"/>
    <w:rsid w:val="00631A32"/>
    <w:rsid w:val="00631E57"/>
    <w:rsid w:val="00632A67"/>
    <w:rsid w:val="006332F7"/>
    <w:rsid w:val="00633579"/>
    <w:rsid w:val="00633C06"/>
    <w:rsid w:val="0063439B"/>
    <w:rsid w:val="006349C3"/>
    <w:rsid w:val="0063503E"/>
    <w:rsid w:val="006350EE"/>
    <w:rsid w:val="00635446"/>
    <w:rsid w:val="00635774"/>
    <w:rsid w:val="00635BA4"/>
    <w:rsid w:val="00635CFC"/>
    <w:rsid w:val="006362B6"/>
    <w:rsid w:val="00636612"/>
    <w:rsid w:val="00636BED"/>
    <w:rsid w:val="00636F56"/>
    <w:rsid w:val="0063793E"/>
    <w:rsid w:val="00637994"/>
    <w:rsid w:val="00637D27"/>
    <w:rsid w:val="00637D77"/>
    <w:rsid w:val="006405FB"/>
    <w:rsid w:val="00641078"/>
    <w:rsid w:val="0064128F"/>
    <w:rsid w:val="0064182B"/>
    <w:rsid w:val="00641AA7"/>
    <w:rsid w:val="00641BFE"/>
    <w:rsid w:val="00641D7F"/>
    <w:rsid w:val="00641E64"/>
    <w:rsid w:val="006428AB"/>
    <w:rsid w:val="00642E9A"/>
    <w:rsid w:val="00643692"/>
    <w:rsid w:val="00643907"/>
    <w:rsid w:val="00643B87"/>
    <w:rsid w:val="00643C8B"/>
    <w:rsid w:val="0064437A"/>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4EF"/>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600EF"/>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3B7"/>
    <w:rsid w:val="006665F1"/>
    <w:rsid w:val="006668F1"/>
    <w:rsid w:val="00666D19"/>
    <w:rsid w:val="00666FD4"/>
    <w:rsid w:val="00667502"/>
    <w:rsid w:val="00667515"/>
    <w:rsid w:val="006676D8"/>
    <w:rsid w:val="00667F7C"/>
    <w:rsid w:val="0067051D"/>
    <w:rsid w:val="00670651"/>
    <w:rsid w:val="006709A0"/>
    <w:rsid w:val="00670C56"/>
    <w:rsid w:val="00671898"/>
    <w:rsid w:val="00671C9C"/>
    <w:rsid w:val="00671F4F"/>
    <w:rsid w:val="00672109"/>
    <w:rsid w:val="00672BB2"/>
    <w:rsid w:val="00673156"/>
    <w:rsid w:val="0067316D"/>
    <w:rsid w:val="00673790"/>
    <w:rsid w:val="0067380D"/>
    <w:rsid w:val="00673880"/>
    <w:rsid w:val="00673F15"/>
    <w:rsid w:val="00674120"/>
    <w:rsid w:val="00674435"/>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18B"/>
    <w:rsid w:val="0068025C"/>
    <w:rsid w:val="0068064C"/>
    <w:rsid w:val="006809FA"/>
    <w:rsid w:val="00680D5C"/>
    <w:rsid w:val="00680E32"/>
    <w:rsid w:val="006816F8"/>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093"/>
    <w:rsid w:val="00685345"/>
    <w:rsid w:val="006853D6"/>
    <w:rsid w:val="006855AF"/>
    <w:rsid w:val="006864EB"/>
    <w:rsid w:val="006865B8"/>
    <w:rsid w:val="006869E4"/>
    <w:rsid w:val="00686FB0"/>
    <w:rsid w:val="00690452"/>
    <w:rsid w:val="00690531"/>
    <w:rsid w:val="006909C1"/>
    <w:rsid w:val="00690B9D"/>
    <w:rsid w:val="00690F29"/>
    <w:rsid w:val="00692287"/>
    <w:rsid w:val="00692289"/>
    <w:rsid w:val="00692919"/>
    <w:rsid w:val="006929EB"/>
    <w:rsid w:val="00693145"/>
    <w:rsid w:val="00693590"/>
    <w:rsid w:val="00693809"/>
    <w:rsid w:val="006939D0"/>
    <w:rsid w:val="00693A72"/>
    <w:rsid w:val="00693E08"/>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6D41"/>
    <w:rsid w:val="00697067"/>
    <w:rsid w:val="00697331"/>
    <w:rsid w:val="006973FA"/>
    <w:rsid w:val="0069750A"/>
    <w:rsid w:val="00697727"/>
    <w:rsid w:val="006A00DD"/>
    <w:rsid w:val="006A0549"/>
    <w:rsid w:val="006A059E"/>
    <w:rsid w:val="006A0F4F"/>
    <w:rsid w:val="006A15D5"/>
    <w:rsid w:val="006A16CE"/>
    <w:rsid w:val="006A1803"/>
    <w:rsid w:val="006A19B3"/>
    <w:rsid w:val="006A229F"/>
    <w:rsid w:val="006A2AC4"/>
    <w:rsid w:val="006A2E5B"/>
    <w:rsid w:val="006A2FE1"/>
    <w:rsid w:val="006A30D3"/>
    <w:rsid w:val="006A3141"/>
    <w:rsid w:val="006A3712"/>
    <w:rsid w:val="006A3D82"/>
    <w:rsid w:val="006A4455"/>
    <w:rsid w:val="006A44F5"/>
    <w:rsid w:val="006A4D39"/>
    <w:rsid w:val="006A4E70"/>
    <w:rsid w:val="006A52BB"/>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146"/>
    <w:rsid w:val="006B2270"/>
    <w:rsid w:val="006B247D"/>
    <w:rsid w:val="006B2759"/>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E60"/>
    <w:rsid w:val="006C5F43"/>
    <w:rsid w:val="006C6315"/>
    <w:rsid w:val="006C6CB1"/>
    <w:rsid w:val="006C7098"/>
    <w:rsid w:val="006C7B1F"/>
    <w:rsid w:val="006D0C25"/>
    <w:rsid w:val="006D0ED0"/>
    <w:rsid w:val="006D1015"/>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641"/>
    <w:rsid w:val="006D5B67"/>
    <w:rsid w:val="006D5D1D"/>
    <w:rsid w:val="006D6005"/>
    <w:rsid w:val="006D6425"/>
    <w:rsid w:val="006D6670"/>
    <w:rsid w:val="006D6C91"/>
    <w:rsid w:val="006D6D78"/>
    <w:rsid w:val="006D703F"/>
    <w:rsid w:val="006D71A3"/>
    <w:rsid w:val="006D74A6"/>
    <w:rsid w:val="006D7656"/>
    <w:rsid w:val="006D773E"/>
    <w:rsid w:val="006D78EC"/>
    <w:rsid w:val="006D7ABC"/>
    <w:rsid w:val="006D7F39"/>
    <w:rsid w:val="006E03A1"/>
    <w:rsid w:val="006E096C"/>
    <w:rsid w:val="006E0C71"/>
    <w:rsid w:val="006E17F2"/>
    <w:rsid w:val="006E1AA5"/>
    <w:rsid w:val="006E1D49"/>
    <w:rsid w:val="006E2201"/>
    <w:rsid w:val="006E2958"/>
    <w:rsid w:val="006E29A7"/>
    <w:rsid w:val="006E2D44"/>
    <w:rsid w:val="006E388E"/>
    <w:rsid w:val="006E3D42"/>
    <w:rsid w:val="006E435C"/>
    <w:rsid w:val="006E460F"/>
    <w:rsid w:val="006E4647"/>
    <w:rsid w:val="006E4BA6"/>
    <w:rsid w:val="006E4D4F"/>
    <w:rsid w:val="006E4DB8"/>
    <w:rsid w:val="006E5024"/>
    <w:rsid w:val="006E513D"/>
    <w:rsid w:val="006E514B"/>
    <w:rsid w:val="006E554C"/>
    <w:rsid w:val="006E5C81"/>
    <w:rsid w:val="006E5DC5"/>
    <w:rsid w:val="006E5EF3"/>
    <w:rsid w:val="006E666A"/>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891"/>
    <w:rsid w:val="006F5919"/>
    <w:rsid w:val="006F61C2"/>
    <w:rsid w:val="006F61F7"/>
    <w:rsid w:val="006F6800"/>
    <w:rsid w:val="006F6AD1"/>
    <w:rsid w:val="006F6DAD"/>
    <w:rsid w:val="006F6F86"/>
    <w:rsid w:val="006F71D9"/>
    <w:rsid w:val="006F7490"/>
    <w:rsid w:val="006F7B28"/>
    <w:rsid w:val="00700C05"/>
    <w:rsid w:val="00701241"/>
    <w:rsid w:val="007013CD"/>
    <w:rsid w:val="00701A6D"/>
    <w:rsid w:val="0070226D"/>
    <w:rsid w:val="0070267D"/>
    <w:rsid w:val="007027A4"/>
    <w:rsid w:val="00702A83"/>
    <w:rsid w:val="00702C0F"/>
    <w:rsid w:val="00703889"/>
    <w:rsid w:val="007038C4"/>
    <w:rsid w:val="007038FC"/>
    <w:rsid w:val="00704221"/>
    <w:rsid w:val="0070441F"/>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D35"/>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90"/>
    <w:rsid w:val="00713BB0"/>
    <w:rsid w:val="00713C77"/>
    <w:rsid w:val="00713F8E"/>
    <w:rsid w:val="0071423D"/>
    <w:rsid w:val="00714561"/>
    <w:rsid w:val="007147DD"/>
    <w:rsid w:val="007147E5"/>
    <w:rsid w:val="00714AF3"/>
    <w:rsid w:val="00714E19"/>
    <w:rsid w:val="007158E2"/>
    <w:rsid w:val="00715F25"/>
    <w:rsid w:val="00715F99"/>
    <w:rsid w:val="00716140"/>
    <w:rsid w:val="0071660E"/>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27ACA"/>
    <w:rsid w:val="00730030"/>
    <w:rsid w:val="00730B8A"/>
    <w:rsid w:val="0073116A"/>
    <w:rsid w:val="00731D8F"/>
    <w:rsid w:val="007322CC"/>
    <w:rsid w:val="0073247F"/>
    <w:rsid w:val="0073278D"/>
    <w:rsid w:val="00732880"/>
    <w:rsid w:val="0073305B"/>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8A"/>
    <w:rsid w:val="007407F6"/>
    <w:rsid w:val="00740BEF"/>
    <w:rsid w:val="00740E77"/>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56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D15"/>
    <w:rsid w:val="00753672"/>
    <w:rsid w:val="00753851"/>
    <w:rsid w:val="00755207"/>
    <w:rsid w:val="0075581D"/>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37F0"/>
    <w:rsid w:val="00764162"/>
    <w:rsid w:val="0076489B"/>
    <w:rsid w:val="00764D42"/>
    <w:rsid w:val="0076502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0E73"/>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8C6"/>
    <w:rsid w:val="00781C18"/>
    <w:rsid w:val="00781DB7"/>
    <w:rsid w:val="00782516"/>
    <w:rsid w:val="00783591"/>
    <w:rsid w:val="007839A0"/>
    <w:rsid w:val="00783A9B"/>
    <w:rsid w:val="00783B01"/>
    <w:rsid w:val="00783B2F"/>
    <w:rsid w:val="00783F03"/>
    <w:rsid w:val="00784299"/>
    <w:rsid w:val="00784734"/>
    <w:rsid w:val="00784AD1"/>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2A0"/>
    <w:rsid w:val="007933B7"/>
    <w:rsid w:val="007938EA"/>
    <w:rsid w:val="00793AA3"/>
    <w:rsid w:val="007943B5"/>
    <w:rsid w:val="00794FAD"/>
    <w:rsid w:val="007950D5"/>
    <w:rsid w:val="007956DA"/>
    <w:rsid w:val="00795906"/>
    <w:rsid w:val="00795CFD"/>
    <w:rsid w:val="00795E1D"/>
    <w:rsid w:val="00795E2B"/>
    <w:rsid w:val="0079612A"/>
    <w:rsid w:val="00796455"/>
    <w:rsid w:val="0079666E"/>
    <w:rsid w:val="0079680F"/>
    <w:rsid w:val="0079746C"/>
    <w:rsid w:val="00797484"/>
    <w:rsid w:val="007974DC"/>
    <w:rsid w:val="007A00A5"/>
    <w:rsid w:val="007A03C4"/>
    <w:rsid w:val="007A0752"/>
    <w:rsid w:val="007A1655"/>
    <w:rsid w:val="007A1801"/>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7F4"/>
    <w:rsid w:val="007B083A"/>
    <w:rsid w:val="007B08C3"/>
    <w:rsid w:val="007B0E4C"/>
    <w:rsid w:val="007B13BD"/>
    <w:rsid w:val="007B15D7"/>
    <w:rsid w:val="007B196C"/>
    <w:rsid w:val="007B1AB2"/>
    <w:rsid w:val="007B2521"/>
    <w:rsid w:val="007B2C6D"/>
    <w:rsid w:val="007B2DEE"/>
    <w:rsid w:val="007B2E63"/>
    <w:rsid w:val="007B30D9"/>
    <w:rsid w:val="007B3CA5"/>
    <w:rsid w:val="007B3D41"/>
    <w:rsid w:val="007B3FFE"/>
    <w:rsid w:val="007B4C8D"/>
    <w:rsid w:val="007B4CCA"/>
    <w:rsid w:val="007B511E"/>
    <w:rsid w:val="007B512F"/>
    <w:rsid w:val="007B5459"/>
    <w:rsid w:val="007B5C76"/>
    <w:rsid w:val="007B5E35"/>
    <w:rsid w:val="007B6282"/>
    <w:rsid w:val="007B639E"/>
    <w:rsid w:val="007B66F6"/>
    <w:rsid w:val="007B679B"/>
    <w:rsid w:val="007B6833"/>
    <w:rsid w:val="007B6B46"/>
    <w:rsid w:val="007B6FDF"/>
    <w:rsid w:val="007B7572"/>
    <w:rsid w:val="007B795B"/>
    <w:rsid w:val="007B7A96"/>
    <w:rsid w:val="007C08B2"/>
    <w:rsid w:val="007C118C"/>
    <w:rsid w:val="007C12E4"/>
    <w:rsid w:val="007C145A"/>
    <w:rsid w:val="007C186B"/>
    <w:rsid w:val="007C190F"/>
    <w:rsid w:val="007C1B71"/>
    <w:rsid w:val="007C1EAC"/>
    <w:rsid w:val="007C210E"/>
    <w:rsid w:val="007C22CB"/>
    <w:rsid w:val="007C327F"/>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03E"/>
    <w:rsid w:val="007D1D35"/>
    <w:rsid w:val="007D1FB0"/>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E73"/>
    <w:rsid w:val="007E1FAD"/>
    <w:rsid w:val="007E21C0"/>
    <w:rsid w:val="007E235D"/>
    <w:rsid w:val="007E26BA"/>
    <w:rsid w:val="007E2EC1"/>
    <w:rsid w:val="007E3C23"/>
    <w:rsid w:val="007E3F65"/>
    <w:rsid w:val="007E4549"/>
    <w:rsid w:val="007E4882"/>
    <w:rsid w:val="007E4988"/>
    <w:rsid w:val="007E4E7F"/>
    <w:rsid w:val="007E4FD3"/>
    <w:rsid w:val="007E57F4"/>
    <w:rsid w:val="007E5B67"/>
    <w:rsid w:val="007E5F86"/>
    <w:rsid w:val="007E60EE"/>
    <w:rsid w:val="007E634F"/>
    <w:rsid w:val="007E63DC"/>
    <w:rsid w:val="007E6DA8"/>
    <w:rsid w:val="007E6DFE"/>
    <w:rsid w:val="007E6EFA"/>
    <w:rsid w:val="007E7112"/>
    <w:rsid w:val="007E7290"/>
    <w:rsid w:val="007E72D0"/>
    <w:rsid w:val="007E7365"/>
    <w:rsid w:val="007E7476"/>
    <w:rsid w:val="007E7522"/>
    <w:rsid w:val="007E7602"/>
    <w:rsid w:val="007F0631"/>
    <w:rsid w:val="007F081B"/>
    <w:rsid w:val="007F096D"/>
    <w:rsid w:val="007F0E89"/>
    <w:rsid w:val="007F0EB8"/>
    <w:rsid w:val="007F1086"/>
    <w:rsid w:val="007F1876"/>
    <w:rsid w:val="007F1948"/>
    <w:rsid w:val="007F1B1D"/>
    <w:rsid w:val="007F2242"/>
    <w:rsid w:val="007F25CE"/>
    <w:rsid w:val="007F2948"/>
    <w:rsid w:val="007F2F22"/>
    <w:rsid w:val="007F3050"/>
    <w:rsid w:val="007F31BE"/>
    <w:rsid w:val="007F31E8"/>
    <w:rsid w:val="007F3229"/>
    <w:rsid w:val="007F37F5"/>
    <w:rsid w:val="007F38D1"/>
    <w:rsid w:val="007F3D46"/>
    <w:rsid w:val="007F3E1C"/>
    <w:rsid w:val="007F3F8C"/>
    <w:rsid w:val="007F4168"/>
    <w:rsid w:val="007F417B"/>
    <w:rsid w:val="007F44D1"/>
    <w:rsid w:val="007F4501"/>
    <w:rsid w:val="007F45C2"/>
    <w:rsid w:val="007F46F8"/>
    <w:rsid w:val="007F4D2D"/>
    <w:rsid w:val="007F4F5D"/>
    <w:rsid w:val="007F509B"/>
    <w:rsid w:val="007F543A"/>
    <w:rsid w:val="007F5F38"/>
    <w:rsid w:val="007F6457"/>
    <w:rsid w:val="007F72C9"/>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0C4"/>
    <w:rsid w:val="008046EA"/>
    <w:rsid w:val="00805141"/>
    <w:rsid w:val="00805606"/>
    <w:rsid w:val="008057BE"/>
    <w:rsid w:val="008057C0"/>
    <w:rsid w:val="00805823"/>
    <w:rsid w:val="00805920"/>
    <w:rsid w:val="0080595B"/>
    <w:rsid w:val="00805CD3"/>
    <w:rsid w:val="00806F89"/>
    <w:rsid w:val="0080737C"/>
    <w:rsid w:val="00807460"/>
    <w:rsid w:val="00807C21"/>
    <w:rsid w:val="00807EC2"/>
    <w:rsid w:val="00810925"/>
    <w:rsid w:val="0081097E"/>
    <w:rsid w:val="00810BCD"/>
    <w:rsid w:val="00810BFB"/>
    <w:rsid w:val="00810F0F"/>
    <w:rsid w:val="0081112F"/>
    <w:rsid w:val="00811157"/>
    <w:rsid w:val="008115EE"/>
    <w:rsid w:val="008116C7"/>
    <w:rsid w:val="00811CB1"/>
    <w:rsid w:val="00811F5B"/>
    <w:rsid w:val="0081263C"/>
    <w:rsid w:val="00813017"/>
    <w:rsid w:val="00813080"/>
    <w:rsid w:val="00813D2C"/>
    <w:rsid w:val="00813DC0"/>
    <w:rsid w:val="00813E06"/>
    <w:rsid w:val="00814493"/>
    <w:rsid w:val="0081456F"/>
    <w:rsid w:val="00814D59"/>
    <w:rsid w:val="00815037"/>
    <w:rsid w:val="0081512E"/>
    <w:rsid w:val="008156C0"/>
    <w:rsid w:val="008157D3"/>
    <w:rsid w:val="00815982"/>
    <w:rsid w:val="00815F8D"/>
    <w:rsid w:val="008163C2"/>
    <w:rsid w:val="0081660F"/>
    <w:rsid w:val="00816F07"/>
    <w:rsid w:val="00817796"/>
    <w:rsid w:val="00817BD7"/>
    <w:rsid w:val="00817D0A"/>
    <w:rsid w:val="00817E0D"/>
    <w:rsid w:val="008201C8"/>
    <w:rsid w:val="008206E4"/>
    <w:rsid w:val="00820E5E"/>
    <w:rsid w:val="00821455"/>
    <w:rsid w:val="0082187F"/>
    <w:rsid w:val="008218D0"/>
    <w:rsid w:val="00821ADD"/>
    <w:rsid w:val="00821E84"/>
    <w:rsid w:val="00821F0C"/>
    <w:rsid w:val="0082254C"/>
    <w:rsid w:val="00822610"/>
    <w:rsid w:val="00822935"/>
    <w:rsid w:val="00822CAB"/>
    <w:rsid w:val="00822D17"/>
    <w:rsid w:val="008230DC"/>
    <w:rsid w:val="008231A4"/>
    <w:rsid w:val="00823B69"/>
    <w:rsid w:val="00823E6F"/>
    <w:rsid w:val="0082460E"/>
    <w:rsid w:val="008247B0"/>
    <w:rsid w:val="008253DB"/>
    <w:rsid w:val="00825631"/>
    <w:rsid w:val="008259CD"/>
    <w:rsid w:val="00825BF7"/>
    <w:rsid w:val="0082613D"/>
    <w:rsid w:val="008264A8"/>
    <w:rsid w:val="00826538"/>
    <w:rsid w:val="00827555"/>
    <w:rsid w:val="008278FE"/>
    <w:rsid w:val="00827F18"/>
    <w:rsid w:val="0083040E"/>
    <w:rsid w:val="00830520"/>
    <w:rsid w:val="0083074B"/>
    <w:rsid w:val="00831211"/>
    <w:rsid w:val="008319EC"/>
    <w:rsid w:val="00831F4B"/>
    <w:rsid w:val="00831FEC"/>
    <w:rsid w:val="00832A7C"/>
    <w:rsid w:val="00832E8A"/>
    <w:rsid w:val="00833069"/>
    <w:rsid w:val="00833268"/>
    <w:rsid w:val="008336E5"/>
    <w:rsid w:val="00834181"/>
    <w:rsid w:val="00834B48"/>
    <w:rsid w:val="00834CCC"/>
    <w:rsid w:val="00834E7A"/>
    <w:rsid w:val="00834E88"/>
    <w:rsid w:val="00835318"/>
    <w:rsid w:val="00835576"/>
    <w:rsid w:val="0083570C"/>
    <w:rsid w:val="00835742"/>
    <w:rsid w:val="0083682E"/>
    <w:rsid w:val="0083697F"/>
    <w:rsid w:val="00836B86"/>
    <w:rsid w:val="008370D0"/>
    <w:rsid w:val="008377B5"/>
    <w:rsid w:val="00837D89"/>
    <w:rsid w:val="008402E6"/>
    <w:rsid w:val="00840565"/>
    <w:rsid w:val="008409E7"/>
    <w:rsid w:val="00840D86"/>
    <w:rsid w:val="00840FE2"/>
    <w:rsid w:val="0084116F"/>
    <w:rsid w:val="008416A5"/>
    <w:rsid w:val="00841843"/>
    <w:rsid w:val="00841937"/>
    <w:rsid w:val="0084194A"/>
    <w:rsid w:val="0084267B"/>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A7A"/>
    <w:rsid w:val="00845C3C"/>
    <w:rsid w:val="00845DA8"/>
    <w:rsid w:val="00846960"/>
    <w:rsid w:val="00846AFF"/>
    <w:rsid w:val="00847196"/>
    <w:rsid w:val="00847F43"/>
    <w:rsid w:val="008501A5"/>
    <w:rsid w:val="00850F53"/>
    <w:rsid w:val="00850FCE"/>
    <w:rsid w:val="00851523"/>
    <w:rsid w:val="0085192E"/>
    <w:rsid w:val="008524A9"/>
    <w:rsid w:val="008528E1"/>
    <w:rsid w:val="0085295F"/>
    <w:rsid w:val="0085334B"/>
    <w:rsid w:val="008535F0"/>
    <w:rsid w:val="00853832"/>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0A6"/>
    <w:rsid w:val="008603AA"/>
    <w:rsid w:val="008605FE"/>
    <w:rsid w:val="00860629"/>
    <w:rsid w:val="0086081C"/>
    <w:rsid w:val="008616A4"/>
    <w:rsid w:val="008617AF"/>
    <w:rsid w:val="00861833"/>
    <w:rsid w:val="008619FF"/>
    <w:rsid w:val="00861BE6"/>
    <w:rsid w:val="008622C8"/>
    <w:rsid w:val="00862C0C"/>
    <w:rsid w:val="00862D15"/>
    <w:rsid w:val="00863299"/>
    <w:rsid w:val="00864128"/>
    <w:rsid w:val="00864549"/>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762"/>
    <w:rsid w:val="008711F4"/>
    <w:rsid w:val="00871B1E"/>
    <w:rsid w:val="00871FA1"/>
    <w:rsid w:val="00872057"/>
    <w:rsid w:val="00872F7E"/>
    <w:rsid w:val="00873278"/>
    <w:rsid w:val="008733EA"/>
    <w:rsid w:val="008734D4"/>
    <w:rsid w:val="008741A3"/>
    <w:rsid w:val="00874902"/>
    <w:rsid w:val="0087537A"/>
    <w:rsid w:val="008756D8"/>
    <w:rsid w:val="0087598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DDB"/>
    <w:rsid w:val="00880F69"/>
    <w:rsid w:val="008811E3"/>
    <w:rsid w:val="00881288"/>
    <w:rsid w:val="00881BEA"/>
    <w:rsid w:val="00881EB1"/>
    <w:rsid w:val="0088303A"/>
    <w:rsid w:val="00883085"/>
    <w:rsid w:val="008832EC"/>
    <w:rsid w:val="008838B4"/>
    <w:rsid w:val="00883BAC"/>
    <w:rsid w:val="00884232"/>
    <w:rsid w:val="0088429C"/>
    <w:rsid w:val="00884D1E"/>
    <w:rsid w:val="008854AB"/>
    <w:rsid w:val="00885726"/>
    <w:rsid w:val="00885B50"/>
    <w:rsid w:val="00885B64"/>
    <w:rsid w:val="00885BBC"/>
    <w:rsid w:val="00886BE6"/>
    <w:rsid w:val="00887759"/>
    <w:rsid w:val="00887B6A"/>
    <w:rsid w:val="00887DDB"/>
    <w:rsid w:val="00890081"/>
    <w:rsid w:val="008900F0"/>
    <w:rsid w:val="008905F2"/>
    <w:rsid w:val="0089061F"/>
    <w:rsid w:val="00890A21"/>
    <w:rsid w:val="00890A76"/>
    <w:rsid w:val="00891360"/>
    <w:rsid w:val="008914DA"/>
    <w:rsid w:val="0089194E"/>
    <w:rsid w:val="00892502"/>
    <w:rsid w:val="00892530"/>
    <w:rsid w:val="0089259D"/>
    <w:rsid w:val="00892F00"/>
    <w:rsid w:val="008930AE"/>
    <w:rsid w:val="0089318C"/>
    <w:rsid w:val="00893222"/>
    <w:rsid w:val="0089335F"/>
    <w:rsid w:val="00893FD3"/>
    <w:rsid w:val="008942F4"/>
    <w:rsid w:val="00894406"/>
    <w:rsid w:val="00894B37"/>
    <w:rsid w:val="00894F9C"/>
    <w:rsid w:val="008951F8"/>
    <w:rsid w:val="00895497"/>
    <w:rsid w:val="008954F5"/>
    <w:rsid w:val="00895B48"/>
    <w:rsid w:val="00895B61"/>
    <w:rsid w:val="00895DA3"/>
    <w:rsid w:val="00895F71"/>
    <w:rsid w:val="00896442"/>
    <w:rsid w:val="008964AE"/>
    <w:rsid w:val="00896620"/>
    <w:rsid w:val="0089694B"/>
    <w:rsid w:val="00896B0A"/>
    <w:rsid w:val="00896EB9"/>
    <w:rsid w:val="00897430"/>
    <w:rsid w:val="008974DF"/>
    <w:rsid w:val="0089771D"/>
    <w:rsid w:val="00897C11"/>
    <w:rsid w:val="00897F29"/>
    <w:rsid w:val="008A0E54"/>
    <w:rsid w:val="008A140B"/>
    <w:rsid w:val="008A144A"/>
    <w:rsid w:val="008A2D56"/>
    <w:rsid w:val="008A2F3C"/>
    <w:rsid w:val="008A3449"/>
    <w:rsid w:val="008A36EB"/>
    <w:rsid w:val="008A38B1"/>
    <w:rsid w:val="008A3A37"/>
    <w:rsid w:val="008A3D03"/>
    <w:rsid w:val="008A41D9"/>
    <w:rsid w:val="008A435B"/>
    <w:rsid w:val="008A48C2"/>
    <w:rsid w:val="008A4ED7"/>
    <w:rsid w:val="008A50B3"/>
    <w:rsid w:val="008A5388"/>
    <w:rsid w:val="008A5B39"/>
    <w:rsid w:val="008A622D"/>
    <w:rsid w:val="008A658A"/>
    <w:rsid w:val="008A6594"/>
    <w:rsid w:val="008A668B"/>
    <w:rsid w:val="008A670D"/>
    <w:rsid w:val="008A6956"/>
    <w:rsid w:val="008A6991"/>
    <w:rsid w:val="008A69A0"/>
    <w:rsid w:val="008A6E1D"/>
    <w:rsid w:val="008A6E82"/>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1E31"/>
    <w:rsid w:val="008B2883"/>
    <w:rsid w:val="008B2A58"/>
    <w:rsid w:val="008B2AC9"/>
    <w:rsid w:val="008B2FBD"/>
    <w:rsid w:val="008B327F"/>
    <w:rsid w:val="008B32C7"/>
    <w:rsid w:val="008B333E"/>
    <w:rsid w:val="008B33D8"/>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096"/>
    <w:rsid w:val="008C42C1"/>
    <w:rsid w:val="008C4967"/>
    <w:rsid w:val="008C5141"/>
    <w:rsid w:val="008C5306"/>
    <w:rsid w:val="008C5433"/>
    <w:rsid w:val="008C5DA6"/>
    <w:rsid w:val="008C6C65"/>
    <w:rsid w:val="008C6CD5"/>
    <w:rsid w:val="008C752A"/>
    <w:rsid w:val="008C781D"/>
    <w:rsid w:val="008D0621"/>
    <w:rsid w:val="008D064C"/>
    <w:rsid w:val="008D075B"/>
    <w:rsid w:val="008D0ACC"/>
    <w:rsid w:val="008D1BC9"/>
    <w:rsid w:val="008D1FC9"/>
    <w:rsid w:val="008D2883"/>
    <w:rsid w:val="008D2B6D"/>
    <w:rsid w:val="008D323F"/>
    <w:rsid w:val="008D43DB"/>
    <w:rsid w:val="008D4F2B"/>
    <w:rsid w:val="008D548C"/>
    <w:rsid w:val="008D5959"/>
    <w:rsid w:val="008D596E"/>
    <w:rsid w:val="008D65A7"/>
    <w:rsid w:val="008D6614"/>
    <w:rsid w:val="008D6767"/>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4EB3"/>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19C"/>
    <w:rsid w:val="008F320D"/>
    <w:rsid w:val="008F3855"/>
    <w:rsid w:val="008F39FB"/>
    <w:rsid w:val="008F4099"/>
    <w:rsid w:val="008F4C74"/>
    <w:rsid w:val="008F4DA1"/>
    <w:rsid w:val="008F4E15"/>
    <w:rsid w:val="008F4F5D"/>
    <w:rsid w:val="008F546E"/>
    <w:rsid w:val="008F5C3D"/>
    <w:rsid w:val="008F65CA"/>
    <w:rsid w:val="008F6759"/>
    <w:rsid w:val="008F675F"/>
    <w:rsid w:val="008F6864"/>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492"/>
    <w:rsid w:val="009035F6"/>
    <w:rsid w:val="00903E52"/>
    <w:rsid w:val="00903EC1"/>
    <w:rsid w:val="00904698"/>
    <w:rsid w:val="009052C0"/>
    <w:rsid w:val="00905FD6"/>
    <w:rsid w:val="009060D2"/>
    <w:rsid w:val="0090637C"/>
    <w:rsid w:val="009064A5"/>
    <w:rsid w:val="009065F3"/>
    <w:rsid w:val="009069E2"/>
    <w:rsid w:val="00906C9A"/>
    <w:rsid w:val="00906FD1"/>
    <w:rsid w:val="00907192"/>
    <w:rsid w:val="00907423"/>
    <w:rsid w:val="00907618"/>
    <w:rsid w:val="00907750"/>
    <w:rsid w:val="009079B3"/>
    <w:rsid w:val="00907D16"/>
    <w:rsid w:val="00910C18"/>
    <w:rsid w:val="00910FB0"/>
    <w:rsid w:val="00911441"/>
    <w:rsid w:val="0091160D"/>
    <w:rsid w:val="00911A5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2DF"/>
    <w:rsid w:val="00922637"/>
    <w:rsid w:val="009229F6"/>
    <w:rsid w:val="00922B9F"/>
    <w:rsid w:val="009235C1"/>
    <w:rsid w:val="00923827"/>
    <w:rsid w:val="00923CEE"/>
    <w:rsid w:val="00923F52"/>
    <w:rsid w:val="00924806"/>
    <w:rsid w:val="009256D8"/>
    <w:rsid w:val="00925778"/>
    <w:rsid w:val="00925E0E"/>
    <w:rsid w:val="00925EF4"/>
    <w:rsid w:val="00925F05"/>
    <w:rsid w:val="00926238"/>
    <w:rsid w:val="00926484"/>
    <w:rsid w:val="0092675E"/>
    <w:rsid w:val="00926A4B"/>
    <w:rsid w:val="009271D2"/>
    <w:rsid w:val="009279D6"/>
    <w:rsid w:val="00927C3E"/>
    <w:rsid w:val="00927C84"/>
    <w:rsid w:val="00927CDC"/>
    <w:rsid w:val="00927DC4"/>
    <w:rsid w:val="00927DE1"/>
    <w:rsid w:val="00927FCB"/>
    <w:rsid w:val="0093009C"/>
    <w:rsid w:val="00930305"/>
    <w:rsid w:val="009308FD"/>
    <w:rsid w:val="00931657"/>
    <w:rsid w:val="00931C3E"/>
    <w:rsid w:val="00931DAF"/>
    <w:rsid w:val="009320A7"/>
    <w:rsid w:val="00932341"/>
    <w:rsid w:val="00932914"/>
    <w:rsid w:val="0093334A"/>
    <w:rsid w:val="00933B1E"/>
    <w:rsid w:val="0093456C"/>
    <w:rsid w:val="009347AE"/>
    <w:rsid w:val="00935C04"/>
    <w:rsid w:val="00935C8D"/>
    <w:rsid w:val="009378D0"/>
    <w:rsid w:val="00937A52"/>
    <w:rsid w:val="009403E3"/>
    <w:rsid w:val="009406BC"/>
    <w:rsid w:val="00940793"/>
    <w:rsid w:val="00940E87"/>
    <w:rsid w:val="00940F2E"/>
    <w:rsid w:val="0094123D"/>
    <w:rsid w:val="0094186C"/>
    <w:rsid w:val="00941C5B"/>
    <w:rsid w:val="0094248C"/>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A62"/>
    <w:rsid w:val="00946C0F"/>
    <w:rsid w:val="00946F32"/>
    <w:rsid w:val="0094761B"/>
    <w:rsid w:val="00947A06"/>
    <w:rsid w:val="00947A51"/>
    <w:rsid w:val="00947F2B"/>
    <w:rsid w:val="00950069"/>
    <w:rsid w:val="009500AE"/>
    <w:rsid w:val="00950124"/>
    <w:rsid w:val="009502AA"/>
    <w:rsid w:val="009505F5"/>
    <w:rsid w:val="00950870"/>
    <w:rsid w:val="009509C1"/>
    <w:rsid w:val="00950E7B"/>
    <w:rsid w:val="009518C4"/>
    <w:rsid w:val="009524AA"/>
    <w:rsid w:val="00953142"/>
    <w:rsid w:val="0095324C"/>
    <w:rsid w:val="00953259"/>
    <w:rsid w:val="009536EF"/>
    <w:rsid w:val="009538B7"/>
    <w:rsid w:val="00954420"/>
    <w:rsid w:val="009544C1"/>
    <w:rsid w:val="009545B9"/>
    <w:rsid w:val="00954804"/>
    <w:rsid w:val="00955715"/>
    <w:rsid w:val="009558AC"/>
    <w:rsid w:val="00955AA1"/>
    <w:rsid w:val="00955CA3"/>
    <w:rsid w:val="00955DE5"/>
    <w:rsid w:val="0095611E"/>
    <w:rsid w:val="0095647D"/>
    <w:rsid w:val="00956AE6"/>
    <w:rsid w:val="00956D29"/>
    <w:rsid w:val="00956FE1"/>
    <w:rsid w:val="009572E4"/>
    <w:rsid w:val="00957548"/>
    <w:rsid w:val="00957699"/>
    <w:rsid w:val="009578CF"/>
    <w:rsid w:val="009578ED"/>
    <w:rsid w:val="00957E25"/>
    <w:rsid w:val="00960500"/>
    <w:rsid w:val="009609B1"/>
    <w:rsid w:val="00960A3B"/>
    <w:rsid w:val="00960DA5"/>
    <w:rsid w:val="00960E08"/>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4B"/>
    <w:rsid w:val="00967E63"/>
    <w:rsid w:val="00967E87"/>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A2C"/>
    <w:rsid w:val="00973FC9"/>
    <w:rsid w:val="009744FA"/>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2E5"/>
    <w:rsid w:val="00984045"/>
    <w:rsid w:val="009840F0"/>
    <w:rsid w:val="00984531"/>
    <w:rsid w:val="009846F0"/>
    <w:rsid w:val="0098483C"/>
    <w:rsid w:val="00984BF2"/>
    <w:rsid w:val="00984EE6"/>
    <w:rsid w:val="009853FC"/>
    <w:rsid w:val="009859BB"/>
    <w:rsid w:val="00985B69"/>
    <w:rsid w:val="00985BE7"/>
    <w:rsid w:val="00986AD8"/>
    <w:rsid w:val="009870BD"/>
    <w:rsid w:val="009873FD"/>
    <w:rsid w:val="0098769F"/>
    <w:rsid w:val="00990036"/>
    <w:rsid w:val="00990058"/>
    <w:rsid w:val="009903FC"/>
    <w:rsid w:val="00990928"/>
    <w:rsid w:val="009914BB"/>
    <w:rsid w:val="00991788"/>
    <w:rsid w:val="00991D9D"/>
    <w:rsid w:val="00991FDB"/>
    <w:rsid w:val="0099214A"/>
    <w:rsid w:val="00992277"/>
    <w:rsid w:val="009929A7"/>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AA3"/>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6A65"/>
    <w:rsid w:val="009A7374"/>
    <w:rsid w:val="009A7DDB"/>
    <w:rsid w:val="009A7E41"/>
    <w:rsid w:val="009B0532"/>
    <w:rsid w:val="009B0759"/>
    <w:rsid w:val="009B0D27"/>
    <w:rsid w:val="009B0DF8"/>
    <w:rsid w:val="009B118C"/>
    <w:rsid w:val="009B15BA"/>
    <w:rsid w:val="009B1776"/>
    <w:rsid w:val="009B18E3"/>
    <w:rsid w:val="009B236D"/>
    <w:rsid w:val="009B23FC"/>
    <w:rsid w:val="009B2A3B"/>
    <w:rsid w:val="009B2C0B"/>
    <w:rsid w:val="009B3555"/>
    <w:rsid w:val="009B3749"/>
    <w:rsid w:val="009B3BCB"/>
    <w:rsid w:val="009B455A"/>
    <w:rsid w:val="009B4C4B"/>
    <w:rsid w:val="009B511E"/>
    <w:rsid w:val="009B5273"/>
    <w:rsid w:val="009B5301"/>
    <w:rsid w:val="009B5AC0"/>
    <w:rsid w:val="009B6107"/>
    <w:rsid w:val="009B6337"/>
    <w:rsid w:val="009B646F"/>
    <w:rsid w:val="009B6D33"/>
    <w:rsid w:val="009B777D"/>
    <w:rsid w:val="009B7886"/>
    <w:rsid w:val="009B7C7D"/>
    <w:rsid w:val="009C016F"/>
    <w:rsid w:val="009C04DC"/>
    <w:rsid w:val="009C08B6"/>
    <w:rsid w:val="009C0E67"/>
    <w:rsid w:val="009C1578"/>
    <w:rsid w:val="009C1BE3"/>
    <w:rsid w:val="009C2051"/>
    <w:rsid w:val="009C20B4"/>
    <w:rsid w:val="009C23B6"/>
    <w:rsid w:val="009C23EE"/>
    <w:rsid w:val="009C2AFD"/>
    <w:rsid w:val="009C2B37"/>
    <w:rsid w:val="009C2F59"/>
    <w:rsid w:val="009C2F7C"/>
    <w:rsid w:val="009C320B"/>
    <w:rsid w:val="009C3341"/>
    <w:rsid w:val="009C36DF"/>
    <w:rsid w:val="009C3F40"/>
    <w:rsid w:val="009C43CE"/>
    <w:rsid w:val="009C4F77"/>
    <w:rsid w:val="009C51DB"/>
    <w:rsid w:val="009C5208"/>
    <w:rsid w:val="009C5396"/>
    <w:rsid w:val="009C566B"/>
    <w:rsid w:val="009C5907"/>
    <w:rsid w:val="009C5A0C"/>
    <w:rsid w:val="009C5C52"/>
    <w:rsid w:val="009C5CC3"/>
    <w:rsid w:val="009C63F4"/>
    <w:rsid w:val="009C6498"/>
    <w:rsid w:val="009C6758"/>
    <w:rsid w:val="009C6A45"/>
    <w:rsid w:val="009C6AC9"/>
    <w:rsid w:val="009C6BEE"/>
    <w:rsid w:val="009C6C6E"/>
    <w:rsid w:val="009C6D07"/>
    <w:rsid w:val="009C6D88"/>
    <w:rsid w:val="009C711F"/>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2C8"/>
    <w:rsid w:val="009D2770"/>
    <w:rsid w:val="009D311C"/>
    <w:rsid w:val="009D353A"/>
    <w:rsid w:val="009D3A02"/>
    <w:rsid w:val="009D3CEA"/>
    <w:rsid w:val="009D3E83"/>
    <w:rsid w:val="009D4BBC"/>
    <w:rsid w:val="009D4D01"/>
    <w:rsid w:val="009D4F18"/>
    <w:rsid w:val="009D545A"/>
    <w:rsid w:val="009D5474"/>
    <w:rsid w:val="009D57F8"/>
    <w:rsid w:val="009D587A"/>
    <w:rsid w:val="009D5CFB"/>
    <w:rsid w:val="009D5D11"/>
    <w:rsid w:val="009D5F1D"/>
    <w:rsid w:val="009D65DD"/>
    <w:rsid w:val="009D683F"/>
    <w:rsid w:val="009D6DD9"/>
    <w:rsid w:val="009D77CA"/>
    <w:rsid w:val="009D7A7E"/>
    <w:rsid w:val="009D7B6E"/>
    <w:rsid w:val="009D7BE4"/>
    <w:rsid w:val="009D7EDC"/>
    <w:rsid w:val="009D7F74"/>
    <w:rsid w:val="009E0A2F"/>
    <w:rsid w:val="009E0C76"/>
    <w:rsid w:val="009E10C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596"/>
    <w:rsid w:val="009F1FC0"/>
    <w:rsid w:val="009F2087"/>
    <w:rsid w:val="009F2155"/>
    <w:rsid w:val="009F23AD"/>
    <w:rsid w:val="009F245C"/>
    <w:rsid w:val="009F24A8"/>
    <w:rsid w:val="009F2860"/>
    <w:rsid w:val="009F2919"/>
    <w:rsid w:val="009F2A1D"/>
    <w:rsid w:val="009F2B70"/>
    <w:rsid w:val="009F2E32"/>
    <w:rsid w:val="009F2E60"/>
    <w:rsid w:val="009F2EF8"/>
    <w:rsid w:val="009F325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7B92"/>
    <w:rsid w:val="009F7BC4"/>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7EF"/>
    <w:rsid w:val="00A11B24"/>
    <w:rsid w:val="00A11E9C"/>
    <w:rsid w:val="00A11ECC"/>
    <w:rsid w:val="00A127EE"/>
    <w:rsid w:val="00A12AF7"/>
    <w:rsid w:val="00A12C9A"/>
    <w:rsid w:val="00A12CB5"/>
    <w:rsid w:val="00A12E9D"/>
    <w:rsid w:val="00A131A3"/>
    <w:rsid w:val="00A1321F"/>
    <w:rsid w:val="00A13747"/>
    <w:rsid w:val="00A13B02"/>
    <w:rsid w:val="00A13B3B"/>
    <w:rsid w:val="00A147AD"/>
    <w:rsid w:val="00A1532F"/>
    <w:rsid w:val="00A15499"/>
    <w:rsid w:val="00A15803"/>
    <w:rsid w:val="00A16123"/>
    <w:rsid w:val="00A16821"/>
    <w:rsid w:val="00A16A61"/>
    <w:rsid w:val="00A16B41"/>
    <w:rsid w:val="00A16DD9"/>
    <w:rsid w:val="00A16EAC"/>
    <w:rsid w:val="00A17201"/>
    <w:rsid w:val="00A172BB"/>
    <w:rsid w:val="00A1760D"/>
    <w:rsid w:val="00A17652"/>
    <w:rsid w:val="00A178DA"/>
    <w:rsid w:val="00A202A9"/>
    <w:rsid w:val="00A20A36"/>
    <w:rsid w:val="00A20ECB"/>
    <w:rsid w:val="00A215A5"/>
    <w:rsid w:val="00A21FA8"/>
    <w:rsid w:val="00A223D7"/>
    <w:rsid w:val="00A2241F"/>
    <w:rsid w:val="00A2251D"/>
    <w:rsid w:val="00A22BD0"/>
    <w:rsid w:val="00A22CA0"/>
    <w:rsid w:val="00A236BA"/>
    <w:rsid w:val="00A240D4"/>
    <w:rsid w:val="00A24F4A"/>
    <w:rsid w:val="00A253E1"/>
    <w:rsid w:val="00A254A8"/>
    <w:rsid w:val="00A258CE"/>
    <w:rsid w:val="00A2635C"/>
    <w:rsid w:val="00A265AC"/>
    <w:rsid w:val="00A2669F"/>
    <w:rsid w:val="00A26BBB"/>
    <w:rsid w:val="00A273DD"/>
    <w:rsid w:val="00A27965"/>
    <w:rsid w:val="00A27A99"/>
    <w:rsid w:val="00A27CA1"/>
    <w:rsid w:val="00A27D06"/>
    <w:rsid w:val="00A31567"/>
    <w:rsid w:val="00A31E37"/>
    <w:rsid w:val="00A328AC"/>
    <w:rsid w:val="00A32A9D"/>
    <w:rsid w:val="00A32B0A"/>
    <w:rsid w:val="00A32D29"/>
    <w:rsid w:val="00A332F9"/>
    <w:rsid w:val="00A3352E"/>
    <w:rsid w:val="00A337AA"/>
    <w:rsid w:val="00A33AF8"/>
    <w:rsid w:val="00A33FE1"/>
    <w:rsid w:val="00A344AD"/>
    <w:rsid w:val="00A34873"/>
    <w:rsid w:val="00A354CF"/>
    <w:rsid w:val="00A355B5"/>
    <w:rsid w:val="00A35E3A"/>
    <w:rsid w:val="00A362A1"/>
    <w:rsid w:val="00A362DE"/>
    <w:rsid w:val="00A3641F"/>
    <w:rsid w:val="00A36A7D"/>
    <w:rsid w:val="00A3719A"/>
    <w:rsid w:val="00A37332"/>
    <w:rsid w:val="00A37423"/>
    <w:rsid w:val="00A379C5"/>
    <w:rsid w:val="00A37B09"/>
    <w:rsid w:val="00A37BD2"/>
    <w:rsid w:val="00A37E1A"/>
    <w:rsid w:val="00A4091E"/>
    <w:rsid w:val="00A40E32"/>
    <w:rsid w:val="00A412B1"/>
    <w:rsid w:val="00A413CD"/>
    <w:rsid w:val="00A418C3"/>
    <w:rsid w:val="00A4242C"/>
    <w:rsid w:val="00A4258D"/>
    <w:rsid w:val="00A42919"/>
    <w:rsid w:val="00A429EE"/>
    <w:rsid w:val="00A42A73"/>
    <w:rsid w:val="00A42DCB"/>
    <w:rsid w:val="00A4334F"/>
    <w:rsid w:val="00A434E2"/>
    <w:rsid w:val="00A4353A"/>
    <w:rsid w:val="00A438D8"/>
    <w:rsid w:val="00A439FD"/>
    <w:rsid w:val="00A43D7F"/>
    <w:rsid w:val="00A4402D"/>
    <w:rsid w:val="00A4425E"/>
    <w:rsid w:val="00A448CA"/>
    <w:rsid w:val="00A44F61"/>
    <w:rsid w:val="00A456FC"/>
    <w:rsid w:val="00A4624F"/>
    <w:rsid w:val="00A467B6"/>
    <w:rsid w:val="00A46A07"/>
    <w:rsid w:val="00A46B72"/>
    <w:rsid w:val="00A46BBC"/>
    <w:rsid w:val="00A46D4D"/>
    <w:rsid w:val="00A46E86"/>
    <w:rsid w:val="00A4701E"/>
    <w:rsid w:val="00A47370"/>
    <w:rsid w:val="00A4738E"/>
    <w:rsid w:val="00A4758B"/>
    <w:rsid w:val="00A4792B"/>
    <w:rsid w:val="00A479E5"/>
    <w:rsid w:val="00A47E40"/>
    <w:rsid w:val="00A47F3F"/>
    <w:rsid w:val="00A506D1"/>
    <w:rsid w:val="00A5089F"/>
    <w:rsid w:val="00A50AF8"/>
    <w:rsid w:val="00A50FA1"/>
    <w:rsid w:val="00A51031"/>
    <w:rsid w:val="00A51AC4"/>
    <w:rsid w:val="00A52347"/>
    <w:rsid w:val="00A52727"/>
    <w:rsid w:val="00A52A85"/>
    <w:rsid w:val="00A535EE"/>
    <w:rsid w:val="00A53724"/>
    <w:rsid w:val="00A53BE2"/>
    <w:rsid w:val="00A54443"/>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57C5C"/>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D4E"/>
    <w:rsid w:val="00A67EFB"/>
    <w:rsid w:val="00A701C7"/>
    <w:rsid w:val="00A704A2"/>
    <w:rsid w:val="00A7051B"/>
    <w:rsid w:val="00A7052A"/>
    <w:rsid w:val="00A70C55"/>
    <w:rsid w:val="00A70E86"/>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9C3"/>
    <w:rsid w:val="00A85CCD"/>
    <w:rsid w:val="00A862CF"/>
    <w:rsid w:val="00A86667"/>
    <w:rsid w:val="00A86A4C"/>
    <w:rsid w:val="00A86C48"/>
    <w:rsid w:val="00A86D93"/>
    <w:rsid w:val="00A86D9C"/>
    <w:rsid w:val="00A86E37"/>
    <w:rsid w:val="00A8766C"/>
    <w:rsid w:val="00A87697"/>
    <w:rsid w:val="00A87BEA"/>
    <w:rsid w:val="00A87E2C"/>
    <w:rsid w:val="00A87E59"/>
    <w:rsid w:val="00A9032B"/>
    <w:rsid w:val="00A90357"/>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42"/>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1C24"/>
    <w:rsid w:val="00AA21BE"/>
    <w:rsid w:val="00AA244B"/>
    <w:rsid w:val="00AA2560"/>
    <w:rsid w:val="00AA2D81"/>
    <w:rsid w:val="00AA2E57"/>
    <w:rsid w:val="00AA2F13"/>
    <w:rsid w:val="00AA308F"/>
    <w:rsid w:val="00AA3711"/>
    <w:rsid w:val="00AA3AC4"/>
    <w:rsid w:val="00AA3BC4"/>
    <w:rsid w:val="00AA3C35"/>
    <w:rsid w:val="00AA406E"/>
    <w:rsid w:val="00AA4361"/>
    <w:rsid w:val="00AA43A8"/>
    <w:rsid w:val="00AA48B8"/>
    <w:rsid w:val="00AA499C"/>
    <w:rsid w:val="00AA4D2D"/>
    <w:rsid w:val="00AA5D24"/>
    <w:rsid w:val="00AA5FCA"/>
    <w:rsid w:val="00AA63F5"/>
    <w:rsid w:val="00AA67BA"/>
    <w:rsid w:val="00AA6983"/>
    <w:rsid w:val="00AA6FDD"/>
    <w:rsid w:val="00AA731F"/>
    <w:rsid w:val="00AA7DB9"/>
    <w:rsid w:val="00AB081B"/>
    <w:rsid w:val="00AB08A5"/>
    <w:rsid w:val="00AB118C"/>
    <w:rsid w:val="00AB1376"/>
    <w:rsid w:val="00AB1A09"/>
    <w:rsid w:val="00AB1CAA"/>
    <w:rsid w:val="00AB1FBD"/>
    <w:rsid w:val="00AB2065"/>
    <w:rsid w:val="00AB2110"/>
    <w:rsid w:val="00AB261C"/>
    <w:rsid w:val="00AB2829"/>
    <w:rsid w:val="00AB2B29"/>
    <w:rsid w:val="00AB3264"/>
    <w:rsid w:val="00AB37E5"/>
    <w:rsid w:val="00AB3918"/>
    <w:rsid w:val="00AB40DC"/>
    <w:rsid w:val="00AB4B62"/>
    <w:rsid w:val="00AB4DFB"/>
    <w:rsid w:val="00AB4FFE"/>
    <w:rsid w:val="00AB55C1"/>
    <w:rsid w:val="00AB5DD6"/>
    <w:rsid w:val="00AB61AF"/>
    <w:rsid w:val="00AB627C"/>
    <w:rsid w:val="00AB62EE"/>
    <w:rsid w:val="00AB64BE"/>
    <w:rsid w:val="00AB6CA3"/>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5C5"/>
    <w:rsid w:val="00AC7697"/>
    <w:rsid w:val="00AC7AE6"/>
    <w:rsid w:val="00AD0B12"/>
    <w:rsid w:val="00AD0F0D"/>
    <w:rsid w:val="00AD119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3C"/>
    <w:rsid w:val="00AD524E"/>
    <w:rsid w:val="00AD53FD"/>
    <w:rsid w:val="00AD5741"/>
    <w:rsid w:val="00AD57D8"/>
    <w:rsid w:val="00AD598F"/>
    <w:rsid w:val="00AD5A53"/>
    <w:rsid w:val="00AD6173"/>
    <w:rsid w:val="00AD6646"/>
    <w:rsid w:val="00AD6BE3"/>
    <w:rsid w:val="00AD70AE"/>
    <w:rsid w:val="00AD7547"/>
    <w:rsid w:val="00AD7738"/>
    <w:rsid w:val="00AD790F"/>
    <w:rsid w:val="00AD7C73"/>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50B"/>
    <w:rsid w:val="00AF3894"/>
    <w:rsid w:val="00AF3DC1"/>
    <w:rsid w:val="00AF3F6A"/>
    <w:rsid w:val="00AF44F6"/>
    <w:rsid w:val="00AF465C"/>
    <w:rsid w:val="00AF47AA"/>
    <w:rsid w:val="00AF4C49"/>
    <w:rsid w:val="00AF4C9E"/>
    <w:rsid w:val="00AF4E28"/>
    <w:rsid w:val="00AF518C"/>
    <w:rsid w:val="00AF603C"/>
    <w:rsid w:val="00AF76AB"/>
    <w:rsid w:val="00AF76DF"/>
    <w:rsid w:val="00AF7D00"/>
    <w:rsid w:val="00B0053C"/>
    <w:rsid w:val="00B010AB"/>
    <w:rsid w:val="00B01199"/>
    <w:rsid w:val="00B013E8"/>
    <w:rsid w:val="00B01B7D"/>
    <w:rsid w:val="00B02322"/>
    <w:rsid w:val="00B0235F"/>
    <w:rsid w:val="00B0359D"/>
    <w:rsid w:val="00B03729"/>
    <w:rsid w:val="00B03C2C"/>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3CD"/>
    <w:rsid w:val="00B10465"/>
    <w:rsid w:val="00B11528"/>
    <w:rsid w:val="00B118AF"/>
    <w:rsid w:val="00B11CEE"/>
    <w:rsid w:val="00B11E90"/>
    <w:rsid w:val="00B123B7"/>
    <w:rsid w:val="00B12561"/>
    <w:rsid w:val="00B125E3"/>
    <w:rsid w:val="00B12BB9"/>
    <w:rsid w:val="00B12FC6"/>
    <w:rsid w:val="00B13286"/>
    <w:rsid w:val="00B1360E"/>
    <w:rsid w:val="00B1362B"/>
    <w:rsid w:val="00B139AD"/>
    <w:rsid w:val="00B13E06"/>
    <w:rsid w:val="00B14389"/>
    <w:rsid w:val="00B14518"/>
    <w:rsid w:val="00B1481B"/>
    <w:rsid w:val="00B15920"/>
    <w:rsid w:val="00B15BA3"/>
    <w:rsid w:val="00B15DE0"/>
    <w:rsid w:val="00B16031"/>
    <w:rsid w:val="00B160A2"/>
    <w:rsid w:val="00B16748"/>
    <w:rsid w:val="00B16810"/>
    <w:rsid w:val="00B16D95"/>
    <w:rsid w:val="00B16E18"/>
    <w:rsid w:val="00B171A4"/>
    <w:rsid w:val="00B1736B"/>
    <w:rsid w:val="00B203DE"/>
    <w:rsid w:val="00B21642"/>
    <w:rsid w:val="00B2199C"/>
    <w:rsid w:val="00B21B58"/>
    <w:rsid w:val="00B21CE3"/>
    <w:rsid w:val="00B22103"/>
    <w:rsid w:val="00B2241D"/>
    <w:rsid w:val="00B227D9"/>
    <w:rsid w:val="00B22945"/>
    <w:rsid w:val="00B22E8C"/>
    <w:rsid w:val="00B23373"/>
    <w:rsid w:val="00B23FA1"/>
    <w:rsid w:val="00B24B4E"/>
    <w:rsid w:val="00B24F99"/>
    <w:rsid w:val="00B25774"/>
    <w:rsid w:val="00B2585F"/>
    <w:rsid w:val="00B259AD"/>
    <w:rsid w:val="00B25DA6"/>
    <w:rsid w:val="00B260F8"/>
    <w:rsid w:val="00B2665E"/>
    <w:rsid w:val="00B26742"/>
    <w:rsid w:val="00B26A92"/>
    <w:rsid w:val="00B26AAB"/>
    <w:rsid w:val="00B26B46"/>
    <w:rsid w:val="00B26DF6"/>
    <w:rsid w:val="00B2734A"/>
    <w:rsid w:val="00B27469"/>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8D"/>
    <w:rsid w:val="00B452D8"/>
    <w:rsid w:val="00B45783"/>
    <w:rsid w:val="00B46004"/>
    <w:rsid w:val="00B46241"/>
    <w:rsid w:val="00B4627F"/>
    <w:rsid w:val="00B4671F"/>
    <w:rsid w:val="00B467A2"/>
    <w:rsid w:val="00B46E80"/>
    <w:rsid w:val="00B47399"/>
    <w:rsid w:val="00B474D7"/>
    <w:rsid w:val="00B478FD"/>
    <w:rsid w:val="00B47F59"/>
    <w:rsid w:val="00B509A2"/>
    <w:rsid w:val="00B5145E"/>
    <w:rsid w:val="00B51590"/>
    <w:rsid w:val="00B5159B"/>
    <w:rsid w:val="00B517A0"/>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3F5"/>
    <w:rsid w:val="00B60B85"/>
    <w:rsid w:val="00B61338"/>
    <w:rsid w:val="00B61719"/>
    <w:rsid w:val="00B6187F"/>
    <w:rsid w:val="00B618B1"/>
    <w:rsid w:val="00B61938"/>
    <w:rsid w:val="00B61ED3"/>
    <w:rsid w:val="00B61F92"/>
    <w:rsid w:val="00B624AB"/>
    <w:rsid w:val="00B624C7"/>
    <w:rsid w:val="00B627DF"/>
    <w:rsid w:val="00B62813"/>
    <w:rsid w:val="00B628BB"/>
    <w:rsid w:val="00B629B0"/>
    <w:rsid w:val="00B62A0E"/>
    <w:rsid w:val="00B63030"/>
    <w:rsid w:val="00B6335F"/>
    <w:rsid w:val="00B633CA"/>
    <w:rsid w:val="00B63780"/>
    <w:rsid w:val="00B63876"/>
    <w:rsid w:val="00B639DE"/>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7FE"/>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B13"/>
    <w:rsid w:val="00B82C85"/>
    <w:rsid w:val="00B82CF1"/>
    <w:rsid w:val="00B82DC5"/>
    <w:rsid w:val="00B82F23"/>
    <w:rsid w:val="00B83169"/>
    <w:rsid w:val="00B832E6"/>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ACF"/>
    <w:rsid w:val="00B90DE3"/>
    <w:rsid w:val="00B90E2D"/>
    <w:rsid w:val="00B90EBE"/>
    <w:rsid w:val="00B91090"/>
    <w:rsid w:val="00B91123"/>
    <w:rsid w:val="00B91287"/>
    <w:rsid w:val="00B917BC"/>
    <w:rsid w:val="00B91C77"/>
    <w:rsid w:val="00B92188"/>
    <w:rsid w:val="00B9231C"/>
    <w:rsid w:val="00B92CBE"/>
    <w:rsid w:val="00B92F7A"/>
    <w:rsid w:val="00B940F4"/>
    <w:rsid w:val="00B94129"/>
    <w:rsid w:val="00B943B3"/>
    <w:rsid w:val="00B94CB2"/>
    <w:rsid w:val="00B94ECF"/>
    <w:rsid w:val="00B94EFB"/>
    <w:rsid w:val="00B955BF"/>
    <w:rsid w:val="00B959D1"/>
    <w:rsid w:val="00B96EE6"/>
    <w:rsid w:val="00B97918"/>
    <w:rsid w:val="00B9791D"/>
    <w:rsid w:val="00B97AE5"/>
    <w:rsid w:val="00BA0312"/>
    <w:rsid w:val="00BA0897"/>
    <w:rsid w:val="00BA1210"/>
    <w:rsid w:val="00BA1544"/>
    <w:rsid w:val="00BA15C8"/>
    <w:rsid w:val="00BA16CA"/>
    <w:rsid w:val="00BA1734"/>
    <w:rsid w:val="00BA1865"/>
    <w:rsid w:val="00BA1B97"/>
    <w:rsid w:val="00BA1DC6"/>
    <w:rsid w:val="00BA2135"/>
    <w:rsid w:val="00BA2457"/>
    <w:rsid w:val="00BA28DF"/>
    <w:rsid w:val="00BA2C90"/>
    <w:rsid w:val="00BA2D1C"/>
    <w:rsid w:val="00BA31E6"/>
    <w:rsid w:val="00BA3268"/>
    <w:rsid w:val="00BA3A74"/>
    <w:rsid w:val="00BA3D96"/>
    <w:rsid w:val="00BA3DBE"/>
    <w:rsid w:val="00BA429D"/>
    <w:rsid w:val="00BA4A85"/>
    <w:rsid w:val="00BA55A2"/>
    <w:rsid w:val="00BA5FD7"/>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5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00C"/>
    <w:rsid w:val="00BB7295"/>
    <w:rsid w:val="00BB78BF"/>
    <w:rsid w:val="00BB791D"/>
    <w:rsid w:val="00BB7A4D"/>
    <w:rsid w:val="00BC02ED"/>
    <w:rsid w:val="00BC05D3"/>
    <w:rsid w:val="00BC0B50"/>
    <w:rsid w:val="00BC0BD9"/>
    <w:rsid w:val="00BC13EE"/>
    <w:rsid w:val="00BC1618"/>
    <w:rsid w:val="00BC1914"/>
    <w:rsid w:val="00BC1C25"/>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511"/>
    <w:rsid w:val="00BC7C0E"/>
    <w:rsid w:val="00BD012E"/>
    <w:rsid w:val="00BD02EA"/>
    <w:rsid w:val="00BD083F"/>
    <w:rsid w:val="00BD0DD7"/>
    <w:rsid w:val="00BD1227"/>
    <w:rsid w:val="00BD255D"/>
    <w:rsid w:val="00BD2DB2"/>
    <w:rsid w:val="00BD30B9"/>
    <w:rsid w:val="00BD32B3"/>
    <w:rsid w:val="00BD3445"/>
    <w:rsid w:val="00BD40D2"/>
    <w:rsid w:val="00BD43F0"/>
    <w:rsid w:val="00BD49C7"/>
    <w:rsid w:val="00BD50C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2EDE"/>
    <w:rsid w:val="00BE39E0"/>
    <w:rsid w:val="00BE427D"/>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F75"/>
    <w:rsid w:val="00BE60EF"/>
    <w:rsid w:val="00BE79DB"/>
    <w:rsid w:val="00BE7B96"/>
    <w:rsid w:val="00BF0000"/>
    <w:rsid w:val="00BF07E3"/>
    <w:rsid w:val="00BF09DE"/>
    <w:rsid w:val="00BF0C07"/>
    <w:rsid w:val="00BF0CE2"/>
    <w:rsid w:val="00BF1279"/>
    <w:rsid w:val="00BF1BAC"/>
    <w:rsid w:val="00BF1DB1"/>
    <w:rsid w:val="00BF1EB9"/>
    <w:rsid w:val="00BF2240"/>
    <w:rsid w:val="00BF22D3"/>
    <w:rsid w:val="00BF25D3"/>
    <w:rsid w:val="00BF27A3"/>
    <w:rsid w:val="00BF2883"/>
    <w:rsid w:val="00BF2A6A"/>
    <w:rsid w:val="00BF2BAC"/>
    <w:rsid w:val="00BF2FBE"/>
    <w:rsid w:val="00BF3010"/>
    <w:rsid w:val="00BF3180"/>
    <w:rsid w:val="00BF3478"/>
    <w:rsid w:val="00BF38B1"/>
    <w:rsid w:val="00BF3A53"/>
    <w:rsid w:val="00BF3DC1"/>
    <w:rsid w:val="00BF3F75"/>
    <w:rsid w:val="00BF492C"/>
    <w:rsid w:val="00BF5998"/>
    <w:rsid w:val="00BF5A15"/>
    <w:rsid w:val="00BF5B9D"/>
    <w:rsid w:val="00BF5CCB"/>
    <w:rsid w:val="00BF6A38"/>
    <w:rsid w:val="00BF6B00"/>
    <w:rsid w:val="00BF6C8C"/>
    <w:rsid w:val="00BF6C8F"/>
    <w:rsid w:val="00BF6D93"/>
    <w:rsid w:val="00BF6F1D"/>
    <w:rsid w:val="00BF702B"/>
    <w:rsid w:val="00BF71A7"/>
    <w:rsid w:val="00BF767C"/>
    <w:rsid w:val="00BF7A28"/>
    <w:rsid w:val="00BF7F9B"/>
    <w:rsid w:val="00C00413"/>
    <w:rsid w:val="00C00A67"/>
    <w:rsid w:val="00C00F78"/>
    <w:rsid w:val="00C0102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397"/>
    <w:rsid w:val="00C07645"/>
    <w:rsid w:val="00C07A8B"/>
    <w:rsid w:val="00C07D2B"/>
    <w:rsid w:val="00C07EF7"/>
    <w:rsid w:val="00C07FE2"/>
    <w:rsid w:val="00C1003B"/>
    <w:rsid w:val="00C10093"/>
    <w:rsid w:val="00C1012C"/>
    <w:rsid w:val="00C1051D"/>
    <w:rsid w:val="00C105C6"/>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CAE"/>
    <w:rsid w:val="00C15923"/>
    <w:rsid w:val="00C15FE3"/>
    <w:rsid w:val="00C160C3"/>
    <w:rsid w:val="00C1666F"/>
    <w:rsid w:val="00C16CAA"/>
    <w:rsid w:val="00C16D0E"/>
    <w:rsid w:val="00C16E63"/>
    <w:rsid w:val="00C17384"/>
    <w:rsid w:val="00C175BE"/>
    <w:rsid w:val="00C17623"/>
    <w:rsid w:val="00C178DB"/>
    <w:rsid w:val="00C17D1F"/>
    <w:rsid w:val="00C20219"/>
    <w:rsid w:val="00C2090E"/>
    <w:rsid w:val="00C20E1F"/>
    <w:rsid w:val="00C2139D"/>
    <w:rsid w:val="00C2159D"/>
    <w:rsid w:val="00C21EEE"/>
    <w:rsid w:val="00C22257"/>
    <w:rsid w:val="00C226F6"/>
    <w:rsid w:val="00C22F9B"/>
    <w:rsid w:val="00C23437"/>
    <w:rsid w:val="00C2385A"/>
    <w:rsid w:val="00C23D15"/>
    <w:rsid w:val="00C24685"/>
    <w:rsid w:val="00C246F1"/>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5A"/>
    <w:rsid w:val="00C3607E"/>
    <w:rsid w:val="00C361FC"/>
    <w:rsid w:val="00C36277"/>
    <w:rsid w:val="00C363F6"/>
    <w:rsid w:val="00C364E0"/>
    <w:rsid w:val="00C36845"/>
    <w:rsid w:val="00C375AB"/>
    <w:rsid w:val="00C37CA0"/>
    <w:rsid w:val="00C4003C"/>
    <w:rsid w:val="00C40044"/>
    <w:rsid w:val="00C4009D"/>
    <w:rsid w:val="00C40875"/>
    <w:rsid w:val="00C40C6D"/>
    <w:rsid w:val="00C41255"/>
    <w:rsid w:val="00C41434"/>
    <w:rsid w:val="00C417AF"/>
    <w:rsid w:val="00C420B5"/>
    <w:rsid w:val="00C421F3"/>
    <w:rsid w:val="00C42B14"/>
    <w:rsid w:val="00C42B51"/>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2276"/>
    <w:rsid w:val="00C527F7"/>
    <w:rsid w:val="00C52A65"/>
    <w:rsid w:val="00C52CBF"/>
    <w:rsid w:val="00C53167"/>
    <w:rsid w:val="00C53254"/>
    <w:rsid w:val="00C534AA"/>
    <w:rsid w:val="00C53A1A"/>
    <w:rsid w:val="00C53A45"/>
    <w:rsid w:val="00C53D16"/>
    <w:rsid w:val="00C53D78"/>
    <w:rsid w:val="00C53FF1"/>
    <w:rsid w:val="00C54158"/>
    <w:rsid w:val="00C54524"/>
    <w:rsid w:val="00C545E4"/>
    <w:rsid w:val="00C54C56"/>
    <w:rsid w:val="00C55575"/>
    <w:rsid w:val="00C5599E"/>
    <w:rsid w:val="00C559FD"/>
    <w:rsid w:val="00C55DB3"/>
    <w:rsid w:val="00C561C4"/>
    <w:rsid w:val="00C563EB"/>
    <w:rsid w:val="00C564A4"/>
    <w:rsid w:val="00C5652F"/>
    <w:rsid w:val="00C56AF2"/>
    <w:rsid w:val="00C5717F"/>
    <w:rsid w:val="00C57A40"/>
    <w:rsid w:val="00C60222"/>
    <w:rsid w:val="00C6101B"/>
    <w:rsid w:val="00C6119E"/>
    <w:rsid w:val="00C61327"/>
    <w:rsid w:val="00C6164C"/>
    <w:rsid w:val="00C61A25"/>
    <w:rsid w:val="00C62169"/>
    <w:rsid w:val="00C62879"/>
    <w:rsid w:val="00C62AD0"/>
    <w:rsid w:val="00C62BDF"/>
    <w:rsid w:val="00C62C24"/>
    <w:rsid w:val="00C62C57"/>
    <w:rsid w:val="00C62E8F"/>
    <w:rsid w:val="00C62F2B"/>
    <w:rsid w:val="00C638AA"/>
    <w:rsid w:val="00C63968"/>
    <w:rsid w:val="00C63E0F"/>
    <w:rsid w:val="00C63E9F"/>
    <w:rsid w:val="00C63EE8"/>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1C2"/>
    <w:rsid w:val="00C7331A"/>
    <w:rsid w:val="00C734F5"/>
    <w:rsid w:val="00C73ABA"/>
    <w:rsid w:val="00C73BD4"/>
    <w:rsid w:val="00C742DF"/>
    <w:rsid w:val="00C74C81"/>
    <w:rsid w:val="00C74D17"/>
    <w:rsid w:val="00C74E52"/>
    <w:rsid w:val="00C74F8D"/>
    <w:rsid w:val="00C7507C"/>
    <w:rsid w:val="00C7559A"/>
    <w:rsid w:val="00C75848"/>
    <w:rsid w:val="00C75B6F"/>
    <w:rsid w:val="00C75BCE"/>
    <w:rsid w:val="00C75FCD"/>
    <w:rsid w:val="00C760A4"/>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710"/>
    <w:rsid w:val="00C8446F"/>
    <w:rsid w:val="00C84620"/>
    <w:rsid w:val="00C84A9A"/>
    <w:rsid w:val="00C853E0"/>
    <w:rsid w:val="00C854E2"/>
    <w:rsid w:val="00C854F5"/>
    <w:rsid w:val="00C858DC"/>
    <w:rsid w:val="00C85C17"/>
    <w:rsid w:val="00C85E01"/>
    <w:rsid w:val="00C85F9D"/>
    <w:rsid w:val="00C86422"/>
    <w:rsid w:val="00C86797"/>
    <w:rsid w:val="00C86F72"/>
    <w:rsid w:val="00C8739C"/>
    <w:rsid w:val="00C8782D"/>
    <w:rsid w:val="00C87CAF"/>
    <w:rsid w:val="00C9001C"/>
    <w:rsid w:val="00C90EBD"/>
    <w:rsid w:val="00C90FB8"/>
    <w:rsid w:val="00C9103A"/>
    <w:rsid w:val="00C91205"/>
    <w:rsid w:val="00C91245"/>
    <w:rsid w:val="00C9138D"/>
    <w:rsid w:val="00C91590"/>
    <w:rsid w:val="00C91695"/>
    <w:rsid w:val="00C91AB6"/>
    <w:rsid w:val="00C92801"/>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497"/>
    <w:rsid w:val="00C96F47"/>
    <w:rsid w:val="00C972AD"/>
    <w:rsid w:val="00C97573"/>
    <w:rsid w:val="00C978C5"/>
    <w:rsid w:val="00C97933"/>
    <w:rsid w:val="00C97A4D"/>
    <w:rsid w:val="00C97C67"/>
    <w:rsid w:val="00CA0593"/>
    <w:rsid w:val="00CA11BB"/>
    <w:rsid w:val="00CA14F7"/>
    <w:rsid w:val="00CA1538"/>
    <w:rsid w:val="00CA1574"/>
    <w:rsid w:val="00CA1968"/>
    <w:rsid w:val="00CA1EEB"/>
    <w:rsid w:val="00CA2099"/>
    <w:rsid w:val="00CA2325"/>
    <w:rsid w:val="00CA28CB"/>
    <w:rsid w:val="00CA2FA7"/>
    <w:rsid w:val="00CA349F"/>
    <w:rsid w:val="00CA3B9A"/>
    <w:rsid w:val="00CA4275"/>
    <w:rsid w:val="00CA4568"/>
    <w:rsid w:val="00CA46AD"/>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537"/>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4DF0"/>
    <w:rsid w:val="00CB538C"/>
    <w:rsid w:val="00CB53B4"/>
    <w:rsid w:val="00CB5AE6"/>
    <w:rsid w:val="00CB5BC4"/>
    <w:rsid w:val="00CB5C87"/>
    <w:rsid w:val="00CB5E53"/>
    <w:rsid w:val="00CB6589"/>
    <w:rsid w:val="00CB686F"/>
    <w:rsid w:val="00CB69A9"/>
    <w:rsid w:val="00CB6B2F"/>
    <w:rsid w:val="00CB70FD"/>
    <w:rsid w:val="00CB71A9"/>
    <w:rsid w:val="00CB769C"/>
    <w:rsid w:val="00CB79EA"/>
    <w:rsid w:val="00CB7F18"/>
    <w:rsid w:val="00CB7FCF"/>
    <w:rsid w:val="00CC0013"/>
    <w:rsid w:val="00CC00B4"/>
    <w:rsid w:val="00CC01F6"/>
    <w:rsid w:val="00CC05A6"/>
    <w:rsid w:val="00CC05B8"/>
    <w:rsid w:val="00CC0BDF"/>
    <w:rsid w:val="00CC0D61"/>
    <w:rsid w:val="00CC1087"/>
    <w:rsid w:val="00CC144A"/>
    <w:rsid w:val="00CC1642"/>
    <w:rsid w:val="00CC1670"/>
    <w:rsid w:val="00CC16F7"/>
    <w:rsid w:val="00CC245B"/>
    <w:rsid w:val="00CC2484"/>
    <w:rsid w:val="00CC26F1"/>
    <w:rsid w:val="00CC3185"/>
    <w:rsid w:val="00CC35C4"/>
    <w:rsid w:val="00CC3AFC"/>
    <w:rsid w:val="00CC4340"/>
    <w:rsid w:val="00CC4734"/>
    <w:rsid w:val="00CC477D"/>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98A"/>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587"/>
    <w:rsid w:val="00CD6639"/>
    <w:rsid w:val="00CD6BEC"/>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0DE"/>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6EA9"/>
    <w:rsid w:val="00CF7931"/>
    <w:rsid w:val="00CF7C91"/>
    <w:rsid w:val="00CF7DCA"/>
    <w:rsid w:val="00CF7F40"/>
    <w:rsid w:val="00D001CE"/>
    <w:rsid w:val="00D00488"/>
    <w:rsid w:val="00D007A5"/>
    <w:rsid w:val="00D00A91"/>
    <w:rsid w:val="00D00B76"/>
    <w:rsid w:val="00D00EAA"/>
    <w:rsid w:val="00D010A0"/>
    <w:rsid w:val="00D01239"/>
    <w:rsid w:val="00D013A1"/>
    <w:rsid w:val="00D01406"/>
    <w:rsid w:val="00D017C4"/>
    <w:rsid w:val="00D01A64"/>
    <w:rsid w:val="00D01CAB"/>
    <w:rsid w:val="00D029AB"/>
    <w:rsid w:val="00D02A29"/>
    <w:rsid w:val="00D02B49"/>
    <w:rsid w:val="00D03880"/>
    <w:rsid w:val="00D039A5"/>
    <w:rsid w:val="00D039F7"/>
    <w:rsid w:val="00D03F90"/>
    <w:rsid w:val="00D04209"/>
    <w:rsid w:val="00D04224"/>
    <w:rsid w:val="00D056A1"/>
    <w:rsid w:val="00D05743"/>
    <w:rsid w:val="00D05DC0"/>
    <w:rsid w:val="00D06063"/>
    <w:rsid w:val="00D061E8"/>
    <w:rsid w:val="00D06460"/>
    <w:rsid w:val="00D06461"/>
    <w:rsid w:val="00D065E3"/>
    <w:rsid w:val="00D0719C"/>
    <w:rsid w:val="00D07625"/>
    <w:rsid w:val="00D07D74"/>
    <w:rsid w:val="00D100A5"/>
    <w:rsid w:val="00D1074A"/>
    <w:rsid w:val="00D10887"/>
    <w:rsid w:val="00D109F9"/>
    <w:rsid w:val="00D115AE"/>
    <w:rsid w:val="00D119C3"/>
    <w:rsid w:val="00D11AE8"/>
    <w:rsid w:val="00D11C85"/>
    <w:rsid w:val="00D11EF7"/>
    <w:rsid w:val="00D124FD"/>
    <w:rsid w:val="00D12A3E"/>
    <w:rsid w:val="00D12AEF"/>
    <w:rsid w:val="00D12D51"/>
    <w:rsid w:val="00D12DE9"/>
    <w:rsid w:val="00D12F5E"/>
    <w:rsid w:val="00D12FFE"/>
    <w:rsid w:val="00D1309D"/>
    <w:rsid w:val="00D1315D"/>
    <w:rsid w:val="00D13494"/>
    <w:rsid w:val="00D13ADC"/>
    <w:rsid w:val="00D1439C"/>
    <w:rsid w:val="00D14764"/>
    <w:rsid w:val="00D14CDD"/>
    <w:rsid w:val="00D152CC"/>
    <w:rsid w:val="00D1544C"/>
    <w:rsid w:val="00D1576D"/>
    <w:rsid w:val="00D165B1"/>
    <w:rsid w:val="00D165CB"/>
    <w:rsid w:val="00D17786"/>
    <w:rsid w:val="00D17D77"/>
    <w:rsid w:val="00D2051C"/>
    <w:rsid w:val="00D20E5B"/>
    <w:rsid w:val="00D21210"/>
    <w:rsid w:val="00D2167F"/>
    <w:rsid w:val="00D2190F"/>
    <w:rsid w:val="00D21E1C"/>
    <w:rsid w:val="00D224E4"/>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0DEB"/>
    <w:rsid w:val="00D31BFA"/>
    <w:rsid w:val="00D3204C"/>
    <w:rsid w:val="00D321E2"/>
    <w:rsid w:val="00D32235"/>
    <w:rsid w:val="00D323FA"/>
    <w:rsid w:val="00D3241D"/>
    <w:rsid w:val="00D3280C"/>
    <w:rsid w:val="00D339CF"/>
    <w:rsid w:val="00D33A49"/>
    <w:rsid w:val="00D33BB9"/>
    <w:rsid w:val="00D341FA"/>
    <w:rsid w:val="00D34228"/>
    <w:rsid w:val="00D34377"/>
    <w:rsid w:val="00D344E5"/>
    <w:rsid w:val="00D34671"/>
    <w:rsid w:val="00D3470D"/>
    <w:rsid w:val="00D35911"/>
    <w:rsid w:val="00D35FB9"/>
    <w:rsid w:val="00D361B7"/>
    <w:rsid w:val="00D36AEF"/>
    <w:rsid w:val="00D36BD2"/>
    <w:rsid w:val="00D36E06"/>
    <w:rsid w:val="00D36E6F"/>
    <w:rsid w:val="00D3705A"/>
    <w:rsid w:val="00D373C2"/>
    <w:rsid w:val="00D3757D"/>
    <w:rsid w:val="00D37AE0"/>
    <w:rsid w:val="00D403FA"/>
    <w:rsid w:val="00D409FE"/>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610"/>
    <w:rsid w:val="00D458B1"/>
    <w:rsid w:val="00D4597F"/>
    <w:rsid w:val="00D459A1"/>
    <w:rsid w:val="00D45CBC"/>
    <w:rsid w:val="00D46A0D"/>
    <w:rsid w:val="00D46FA8"/>
    <w:rsid w:val="00D47194"/>
    <w:rsid w:val="00D476C4"/>
    <w:rsid w:val="00D47A8C"/>
    <w:rsid w:val="00D47B45"/>
    <w:rsid w:val="00D502F7"/>
    <w:rsid w:val="00D5044D"/>
    <w:rsid w:val="00D50477"/>
    <w:rsid w:val="00D50499"/>
    <w:rsid w:val="00D5082A"/>
    <w:rsid w:val="00D509AE"/>
    <w:rsid w:val="00D50A97"/>
    <w:rsid w:val="00D50E61"/>
    <w:rsid w:val="00D50FA7"/>
    <w:rsid w:val="00D5101F"/>
    <w:rsid w:val="00D51E9E"/>
    <w:rsid w:val="00D51FE1"/>
    <w:rsid w:val="00D52D42"/>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583"/>
    <w:rsid w:val="00D557E6"/>
    <w:rsid w:val="00D558DA"/>
    <w:rsid w:val="00D55A1A"/>
    <w:rsid w:val="00D55B47"/>
    <w:rsid w:val="00D5629B"/>
    <w:rsid w:val="00D57409"/>
    <w:rsid w:val="00D5744A"/>
    <w:rsid w:val="00D575F8"/>
    <w:rsid w:val="00D600FC"/>
    <w:rsid w:val="00D604B4"/>
    <w:rsid w:val="00D6052E"/>
    <w:rsid w:val="00D60575"/>
    <w:rsid w:val="00D606B1"/>
    <w:rsid w:val="00D60736"/>
    <w:rsid w:val="00D609C0"/>
    <w:rsid w:val="00D60B80"/>
    <w:rsid w:val="00D616BD"/>
    <w:rsid w:val="00D617B5"/>
    <w:rsid w:val="00D618FB"/>
    <w:rsid w:val="00D6198A"/>
    <w:rsid w:val="00D6217D"/>
    <w:rsid w:val="00D622C0"/>
    <w:rsid w:val="00D62324"/>
    <w:rsid w:val="00D625AB"/>
    <w:rsid w:val="00D629B0"/>
    <w:rsid w:val="00D62A9D"/>
    <w:rsid w:val="00D6365A"/>
    <w:rsid w:val="00D63866"/>
    <w:rsid w:val="00D6394D"/>
    <w:rsid w:val="00D63ACC"/>
    <w:rsid w:val="00D63B77"/>
    <w:rsid w:val="00D6406C"/>
    <w:rsid w:val="00D64096"/>
    <w:rsid w:val="00D64908"/>
    <w:rsid w:val="00D64EF3"/>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148"/>
    <w:rsid w:val="00D7581F"/>
    <w:rsid w:val="00D75C3A"/>
    <w:rsid w:val="00D75F46"/>
    <w:rsid w:val="00D76768"/>
    <w:rsid w:val="00D767B2"/>
    <w:rsid w:val="00D76B5A"/>
    <w:rsid w:val="00D7728D"/>
    <w:rsid w:val="00D775B2"/>
    <w:rsid w:val="00D77E8D"/>
    <w:rsid w:val="00D804F1"/>
    <w:rsid w:val="00D80530"/>
    <w:rsid w:val="00D81113"/>
    <w:rsid w:val="00D81412"/>
    <w:rsid w:val="00D81697"/>
    <w:rsid w:val="00D816A0"/>
    <w:rsid w:val="00D81FEB"/>
    <w:rsid w:val="00D825BB"/>
    <w:rsid w:val="00D8261D"/>
    <w:rsid w:val="00D82795"/>
    <w:rsid w:val="00D835A5"/>
    <w:rsid w:val="00D835DF"/>
    <w:rsid w:val="00D8365D"/>
    <w:rsid w:val="00D83706"/>
    <w:rsid w:val="00D83775"/>
    <w:rsid w:val="00D83EE2"/>
    <w:rsid w:val="00D842CB"/>
    <w:rsid w:val="00D84398"/>
    <w:rsid w:val="00D84868"/>
    <w:rsid w:val="00D84B38"/>
    <w:rsid w:val="00D84BB5"/>
    <w:rsid w:val="00D85A5F"/>
    <w:rsid w:val="00D85B35"/>
    <w:rsid w:val="00D862E6"/>
    <w:rsid w:val="00D8692A"/>
    <w:rsid w:val="00D86D30"/>
    <w:rsid w:val="00D870BB"/>
    <w:rsid w:val="00D87395"/>
    <w:rsid w:val="00D87AF1"/>
    <w:rsid w:val="00D87F7A"/>
    <w:rsid w:val="00D90085"/>
    <w:rsid w:val="00D9023E"/>
    <w:rsid w:val="00D90413"/>
    <w:rsid w:val="00D90614"/>
    <w:rsid w:val="00D90BE1"/>
    <w:rsid w:val="00D913E3"/>
    <w:rsid w:val="00D913F7"/>
    <w:rsid w:val="00D91418"/>
    <w:rsid w:val="00D914F2"/>
    <w:rsid w:val="00D917D5"/>
    <w:rsid w:val="00D91B6B"/>
    <w:rsid w:val="00D91DF1"/>
    <w:rsid w:val="00D91E97"/>
    <w:rsid w:val="00D91FAB"/>
    <w:rsid w:val="00D9280B"/>
    <w:rsid w:val="00D92D86"/>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C3F"/>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5A"/>
    <w:rsid w:val="00DB058A"/>
    <w:rsid w:val="00DB16C9"/>
    <w:rsid w:val="00DB16E7"/>
    <w:rsid w:val="00DB1956"/>
    <w:rsid w:val="00DB1D39"/>
    <w:rsid w:val="00DB2265"/>
    <w:rsid w:val="00DB28F0"/>
    <w:rsid w:val="00DB2AAC"/>
    <w:rsid w:val="00DB30BB"/>
    <w:rsid w:val="00DB325C"/>
    <w:rsid w:val="00DB33A4"/>
    <w:rsid w:val="00DB33BD"/>
    <w:rsid w:val="00DB357E"/>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08B"/>
    <w:rsid w:val="00DB717E"/>
    <w:rsid w:val="00DB77BB"/>
    <w:rsid w:val="00DB78C1"/>
    <w:rsid w:val="00DB7D5B"/>
    <w:rsid w:val="00DB7D8A"/>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24F"/>
    <w:rsid w:val="00DC55CD"/>
    <w:rsid w:val="00DC5DB3"/>
    <w:rsid w:val="00DC5EA9"/>
    <w:rsid w:val="00DC6262"/>
    <w:rsid w:val="00DC681C"/>
    <w:rsid w:val="00DC6FCE"/>
    <w:rsid w:val="00DC787D"/>
    <w:rsid w:val="00DC7EBD"/>
    <w:rsid w:val="00DD01C8"/>
    <w:rsid w:val="00DD0B0D"/>
    <w:rsid w:val="00DD0E03"/>
    <w:rsid w:val="00DD1265"/>
    <w:rsid w:val="00DD12FC"/>
    <w:rsid w:val="00DD152E"/>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7183"/>
    <w:rsid w:val="00DD72F4"/>
    <w:rsid w:val="00DD7388"/>
    <w:rsid w:val="00DD7610"/>
    <w:rsid w:val="00DD765F"/>
    <w:rsid w:val="00DD77E5"/>
    <w:rsid w:val="00DD7C77"/>
    <w:rsid w:val="00DE0780"/>
    <w:rsid w:val="00DE18A4"/>
    <w:rsid w:val="00DE2130"/>
    <w:rsid w:val="00DE238E"/>
    <w:rsid w:val="00DE2775"/>
    <w:rsid w:val="00DE2BE0"/>
    <w:rsid w:val="00DE2C22"/>
    <w:rsid w:val="00DE3259"/>
    <w:rsid w:val="00DE33D0"/>
    <w:rsid w:val="00DE34A3"/>
    <w:rsid w:val="00DE3794"/>
    <w:rsid w:val="00DE3824"/>
    <w:rsid w:val="00DE43DA"/>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1C6"/>
    <w:rsid w:val="00DF41EB"/>
    <w:rsid w:val="00DF44D9"/>
    <w:rsid w:val="00DF4539"/>
    <w:rsid w:val="00DF47AC"/>
    <w:rsid w:val="00DF4D04"/>
    <w:rsid w:val="00DF5D3C"/>
    <w:rsid w:val="00DF5D7E"/>
    <w:rsid w:val="00DF5E4E"/>
    <w:rsid w:val="00DF641A"/>
    <w:rsid w:val="00DF678A"/>
    <w:rsid w:val="00DF72D4"/>
    <w:rsid w:val="00DF7338"/>
    <w:rsid w:val="00DF736D"/>
    <w:rsid w:val="00DF7863"/>
    <w:rsid w:val="00DF7994"/>
    <w:rsid w:val="00E0004B"/>
    <w:rsid w:val="00E00186"/>
    <w:rsid w:val="00E0027A"/>
    <w:rsid w:val="00E00468"/>
    <w:rsid w:val="00E00933"/>
    <w:rsid w:val="00E00A40"/>
    <w:rsid w:val="00E0129D"/>
    <w:rsid w:val="00E015EC"/>
    <w:rsid w:val="00E018BF"/>
    <w:rsid w:val="00E01AD5"/>
    <w:rsid w:val="00E01B37"/>
    <w:rsid w:val="00E02230"/>
    <w:rsid w:val="00E02A0D"/>
    <w:rsid w:val="00E02D93"/>
    <w:rsid w:val="00E02F5A"/>
    <w:rsid w:val="00E0304B"/>
    <w:rsid w:val="00E03183"/>
    <w:rsid w:val="00E037EA"/>
    <w:rsid w:val="00E03ED2"/>
    <w:rsid w:val="00E0416E"/>
    <w:rsid w:val="00E04208"/>
    <w:rsid w:val="00E042EF"/>
    <w:rsid w:val="00E04B72"/>
    <w:rsid w:val="00E051F3"/>
    <w:rsid w:val="00E055DC"/>
    <w:rsid w:val="00E05C88"/>
    <w:rsid w:val="00E06726"/>
    <w:rsid w:val="00E067AC"/>
    <w:rsid w:val="00E07053"/>
    <w:rsid w:val="00E07125"/>
    <w:rsid w:val="00E072A4"/>
    <w:rsid w:val="00E0764B"/>
    <w:rsid w:val="00E07732"/>
    <w:rsid w:val="00E07B0F"/>
    <w:rsid w:val="00E100BC"/>
    <w:rsid w:val="00E1021A"/>
    <w:rsid w:val="00E1035C"/>
    <w:rsid w:val="00E108AA"/>
    <w:rsid w:val="00E10FD4"/>
    <w:rsid w:val="00E1100B"/>
    <w:rsid w:val="00E111D3"/>
    <w:rsid w:val="00E1133E"/>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6EC"/>
    <w:rsid w:val="00E14FC4"/>
    <w:rsid w:val="00E15910"/>
    <w:rsid w:val="00E1596F"/>
    <w:rsid w:val="00E15C31"/>
    <w:rsid w:val="00E15C9B"/>
    <w:rsid w:val="00E161C8"/>
    <w:rsid w:val="00E163AE"/>
    <w:rsid w:val="00E1643A"/>
    <w:rsid w:val="00E16523"/>
    <w:rsid w:val="00E16897"/>
    <w:rsid w:val="00E16AB0"/>
    <w:rsid w:val="00E16E25"/>
    <w:rsid w:val="00E17045"/>
    <w:rsid w:val="00E1708D"/>
    <w:rsid w:val="00E17221"/>
    <w:rsid w:val="00E1744A"/>
    <w:rsid w:val="00E17882"/>
    <w:rsid w:val="00E17CAF"/>
    <w:rsid w:val="00E17D86"/>
    <w:rsid w:val="00E17DD2"/>
    <w:rsid w:val="00E17EBF"/>
    <w:rsid w:val="00E17F30"/>
    <w:rsid w:val="00E20589"/>
    <w:rsid w:val="00E209C8"/>
    <w:rsid w:val="00E20C69"/>
    <w:rsid w:val="00E2134B"/>
    <w:rsid w:val="00E2169B"/>
    <w:rsid w:val="00E2191F"/>
    <w:rsid w:val="00E21F78"/>
    <w:rsid w:val="00E2201E"/>
    <w:rsid w:val="00E223B2"/>
    <w:rsid w:val="00E22699"/>
    <w:rsid w:val="00E232AA"/>
    <w:rsid w:val="00E23585"/>
    <w:rsid w:val="00E2381B"/>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744"/>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2AB5"/>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810"/>
    <w:rsid w:val="00E37931"/>
    <w:rsid w:val="00E37DA8"/>
    <w:rsid w:val="00E402CA"/>
    <w:rsid w:val="00E40392"/>
    <w:rsid w:val="00E40ADF"/>
    <w:rsid w:val="00E40C02"/>
    <w:rsid w:val="00E40C85"/>
    <w:rsid w:val="00E40E97"/>
    <w:rsid w:val="00E41203"/>
    <w:rsid w:val="00E41263"/>
    <w:rsid w:val="00E412B9"/>
    <w:rsid w:val="00E41639"/>
    <w:rsid w:val="00E41ADC"/>
    <w:rsid w:val="00E41CAE"/>
    <w:rsid w:val="00E4252D"/>
    <w:rsid w:val="00E4290D"/>
    <w:rsid w:val="00E42CBB"/>
    <w:rsid w:val="00E451E3"/>
    <w:rsid w:val="00E453DF"/>
    <w:rsid w:val="00E4566C"/>
    <w:rsid w:val="00E457AC"/>
    <w:rsid w:val="00E45B54"/>
    <w:rsid w:val="00E45D68"/>
    <w:rsid w:val="00E46558"/>
    <w:rsid w:val="00E46574"/>
    <w:rsid w:val="00E473F2"/>
    <w:rsid w:val="00E47D8B"/>
    <w:rsid w:val="00E47DC9"/>
    <w:rsid w:val="00E50721"/>
    <w:rsid w:val="00E50761"/>
    <w:rsid w:val="00E508E1"/>
    <w:rsid w:val="00E50C80"/>
    <w:rsid w:val="00E50E67"/>
    <w:rsid w:val="00E5157D"/>
    <w:rsid w:val="00E51EAD"/>
    <w:rsid w:val="00E52A41"/>
    <w:rsid w:val="00E52AAF"/>
    <w:rsid w:val="00E53506"/>
    <w:rsid w:val="00E5372F"/>
    <w:rsid w:val="00E540E9"/>
    <w:rsid w:val="00E549DE"/>
    <w:rsid w:val="00E54AA9"/>
    <w:rsid w:val="00E54C46"/>
    <w:rsid w:val="00E54C67"/>
    <w:rsid w:val="00E55EE8"/>
    <w:rsid w:val="00E55F59"/>
    <w:rsid w:val="00E5604A"/>
    <w:rsid w:val="00E5614B"/>
    <w:rsid w:val="00E56542"/>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04"/>
    <w:rsid w:val="00E73354"/>
    <w:rsid w:val="00E73AE4"/>
    <w:rsid w:val="00E74352"/>
    <w:rsid w:val="00E74856"/>
    <w:rsid w:val="00E7518B"/>
    <w:rsid w:val="00E7554B"/>
    <w:rsid w:val="00E75A70"/>
    <w:rsid w:val="00E75DEE"/>
    <w:rsid w:val="00E76189"/>
    <w:rsid w:val="00E76799"/>
    <w:rsid w:val="00E774E1"/>
    <w:rsid w:val="00E80251"/>
    <w:rsid w:val="00E80A40"/>
    <w:rsid w:val="00E80ADE"/>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27A"/>
    <w:rsid w:val="00E87508"/>
    <w:rsid w:val="00E8763B"/>
    <w:rsid w:val="00E87B11"/>
    <w:rsid w:val="00E87CC4"/>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6A52"/>
    <w:rsid w:val="00E97020"/>
    <w:rsid w:val="00E9751D"/>
    <w:rsid w:val="00E97A01"/>
    <w:rsid w:val="00E97A35"/>
    <w:rsid w:val="00EA0046"/>
    <w:rsid w:val="00EA01C6"/>
    <w:rsid w:val="00EA05C2"/>
    <w:rsid w:val="00EA0EEA"/>
    <w:rsid w:val="00EA15FF"/>
    <w:rsid w:val="00EA16D2"/>
    <w:rsid w:val="00EA1DE1"/>
    <w:rsid w:val="00EA1F36"/>
    <w:rsid w:val="00EA25A0"/>
    <w:rsid w:val="00EA26C7"/>
    <w:rsid w:val="00EA2B66"/>
    <w:rsid w:val="00EA34FE"/>
    <w:rsid w:val="00EA40B1"/>
    <w:rsid w:val="00EA4174"/>
    <w:rsid w:val="00EA4E55"/>
    <w:rsid w:val="00EA4EF3"/>
    <w:rsid w:val="00EA5911"/>
    <w:rsid w:val="00EA5BAC"/>
    <w:rsid w:val="00EA5F68"/>
    <w:rsid w:val="00EA5FDD"/>
    <w:rsid w:val="00EA61C7"/>
    <w:rsid w:val="00EA6672"/>
    <w:rsid w:val="00EA67EA"/>
    <w:rsid w:val="00EA69D1"/>
    <w:rsid w:val="00EA77BE"/>
    <w:rsid w:val="00EA7AC7"/>
    <w:rsid w:val="00EA7BF6"/>
    <w:rsid w:val="00EA7CD0"/>
    <w:rsid w:val="00EA7D46"/>
    <w:rsid w:val="00EA7D87"/>
    <w:rsid w:val="00EB032F"/>
    <w:rsid w:val="00EB064C"/>
    <w:rsid w:val="00EB1447"/>
    <w:rsid w:val="00EB17DE"/>
    <w:rsid w:val="00EB2171"/>
    <w:rsid w:val="00EB2355"/>
    <w:rsid w:val="00EB2628"/>
    <w:rsid w:val="00EB27AB"/>
    <w:rsid w:val="00EB2A53"/>
    <w:rsid w:val="00EB42F1"/>
    <w:rsid w:val="00EB4466"/>
    <w:rsid w:val="00EB44C6"/>
    <w:rsid w:val="00EB47EB"/>
    <w:rsid w:val="00EB47F3"/>
    <w:rsid w:val="00EB4917"/>
    <w:rsid w:val="00EB5854"/>
    <w:rsid w:val="00EB588D"/>
    <w:rsid w:val="00EB597C"/>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1F2B"/>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8B"/>
    <w:rsid w:val="00EC63EC"/>
    <w:rsid w:val="00EC64B5"/>
    <w:rsid w:val="00EC6985"/>
    <w:rsid w:val="00EC6AB3"/>
    <w:rsid w:val="00EC7199"/>
    <w:rsid w:val="00EC73A3"/>
    <w:rsid w:val="00EC74EF"/>
    <w:rsid w:val="00EC76DA"/>
    <w:rsid w:val="00EC782D"/>
    <w:rsid w:val="00EC785F"/>
    <w:rsid w:val="00EC7CA9"/>
    <w:rsid w:val="00ED064B"/>
    <w:rsid w:val="00ED0C5C"/>
    <w:rsid w:val="00ED0C81"/>
    <w:rsid w:val="00ED228C"/>
    <w:rsid w:val="00ED277B"/>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BBE"/>
    <w:rsid w:val="00ED7D5E"/>
    <w:rsid w:val="00EE024C"/>
    <w:rsid w:val="00EE0C77"/>
    <w:rsid w:val="00EE0E76"/>
    <w:rsid w:val="00EE13D1"/>
    <w:rsid w:val="00EE147C"/>
    <w:rsid w:val="00EE18B2"/>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06"/>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51C"/>
    <w:rsid w:val="00EF172C"/>
    <w:rsid w:val="00EF1BF7"/>
    <w:rsid w:val="00EF1E64"/>
    <w:rsid w:val="00EF2128"/>
    <w:rsid w:val="00EF2B47"/>
    <w:rsid w:val="00EF2DC0"/>
    <w:rsid w:val="00EF2DF3"/>
    <w:rsid w:val="00EF2E49"/>
    <w:rsid w:val="00EF3214"/>
    <w:rsid w:val="00EF32B0"/>
    <w:rsid w:val="00EF33E6"/>
    <w:rsid w:val="00EF38EC"/>
    <w:rsid w:val="00EF3A3F"/>
    <w:rsid w:val="00EF3AE0"/>
    <w:rsid w:val="00EF3B54"/>
    <w:rsid w:val="00EF3BE6"/>
    <w:rsid w:val="00EF3FC3"/>
    <w:rsid w:val="00EF417B"/>
    <w:rsid w:val="00EF42BF"/>
    <w:rsid w:val="00EF437E"/>
    <w:rsid w:val="00EF4662"/>
    <w:rsid w:val="00EF4F71"/>
    <w:rsid w:val="00EF5178"/>
    <w:rsid w:val="00EF5249"/>
    <w:rsid w:val="00EF5DC1"/>
    <w:rsid w:val="00EF65F1"/>
    <w:rsid w:val="00EF69A1"/>
    <w:rsid w:val="00EF6A36"/>
    <w:rsid w:val="00EF6A4A"/>
    <w:rsid w:val="00EF6CD2"/>
    <w:rsid w:val="00EF709D"/>
    <w:rsid w:val="00EF7CAE"/>
    <w:rsid w:val="00F0064A"/>
    <w:rsid w:val="00F0069C"/>
    <w:rsid w:val="00F00BD0"/>
    <w:rsid w:val="00F00E30"/>
    <w:rsid w:val="00F01885"/>
    <w:rsid w:val="00F020BB"/>
    <w:rsid w:val="00F0225B"/>
    <w:rsid w:val="00F02359"/>
    <w:rsid w:val="00F0262F"/>
    <w:rsid w:val="00F0279F"/>
    <w:rsid w:val="00F0388D"/>
    <w:rsid w:val="00F03D6F"/>
    <w:rsid w:val="00F04405"/>
    <w:rsid w:val="00F04BC5"/>
    <w:rsid w:val="00F04BF0"/>
    <w:rsid w:val="00F04DC9"/>
    <w:rsid w:val="00F04E41"/>
    <w:rsid w:val="00F05047"/>
    <w:rsid w:val="00F05181"/>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4A5"/>
    <w:rsid w:val="00F15541"/>
    <w:rsid w:val="00F15B3D"/>
    <w:rsid w:val="00F15D35"/>
    <w:rsid w:val="00F165C7"/>
    <w:rsid w:val="00F167B5"/>
    <w:rsid w:val="00F16CB5"/>
    <w:rsid w:val="00F17106"/>
    <w:rsid w:val="00F17171"/>
    <w:rsid w:val="00F171B2"/>
    <w:rsid w:val="00F173FB"/>
    <w:rsid w:val="00F175E2"/>
    <w:rsid w:val="00F179E3"/>
    <w:rsid w:val="00F200B4"/>
    <w:rsid w:val="00F20368"/>
    <w:rsid w:val="00F20462"/>
    <w:rsid w:val="00F2064E"/>
    <w:rsid w:val="00F207B6"/>
    <w:rsid w:val="00F20934"/>
    <w:rsid w:val="00F20EDA"/>
    <w:rsid w:val="00F21C66"/>
    <w:rsid w:val="00F2227C"/>
    <w:rsid w:val="00F224DD"/>
    <w:rsid w:val="00F2285F"/>
    <w:rsid w:val="00F228BA"/>
    <w:rsid w:val="00F22C50"/>
    <w:rsid w:val="00F22CF3"/>
    <w:rsid w:val="00F23744"/>
    <w:rsid w:val="00F2380A"/>
    <w:rsid w:val="00F2393F"/>
    <w:rsid w:val="00F23A50"/>
    <w:rsid w:val="00F23B63"/>
    <w:rsid w:val="00F23FC1"/>
    <w:rsid w:val="00F24E40"/>
    <w:rsid w:val="00F24E82"/>
    <w:rsid w:val="00F2513C"/>
    <w:rsid w:val="00F25148"/>
    <w:rsid w:val="00F2515E"/>
    <w:rsid w:val="00F2577F"/>
    <w:rsid w:val="00F25A17"/>
    <w:rsid w:val="00F25C69"/>
    <w:rsid w:val="00F25C90"/>
    <w:rsid w:val="00F25FFA"/>
    <w:rsid w:val="00F26723"/>
    <w:rsid w:val="00F26781"/>
    <w:rsid w:val="00F26DF6"/>
    <w:rsid w:val="00F2726E"/>
    <w:rsid w:val="00F2738D"/>
    <w:rsid w:val="00F2750E"/>
    <w:rsid w:val="00F279BC"/>
    <w:rsid w:val="00F27BA8"/>
    <w:rsid w:val="00F27CD3"/>
    <w:rsid w:val="00F27D84"/>
    <w:rsid w:val="00F27E87"/>
    <w:rsid w:val="00F304C1"/>
    <w:rsid w:val="00F304C9"/>
    <w:rsid w:val="00F304D4"/>
    <w:rsid w:val="00F305B8"/>
    <w:rsid w:val="00F30766"/>
    <w:rsid w:val="00F30E33"/>
    <w:rsid w:val="00F3152B"/>
    <w:rsid w:val="00F315E0"/>
    <w:rsid w:val="00F315EE"/>
    <w:rsid w:val="00F3179A"/>
    <w:rsid w:val="00F31C17"/>
    <w:rsid w:val="00F32562"/>
    <w:rsid w:val="00F32630"/>
    <w:rsid w:val="00F32863"/>
    <w:rsid w:val="00F3372D"/>
    <w:rsid w:val="00F33B17"/>
    <w:rsid w:val="00F33BD5"/>
    <w:rsid w:val="00F33C7D"/>
    <w:rsid w:val="00F33DFE"/>
    <w:rsid w:val="00F342C1"/>
    <w:rsid w:val="00F347ED"/>
    <w:rsid w:val="00F35678"/>
    <w:rsid w:val="00F357DD"/>
    <w:rsid w:val="00F36398"/>
    <w:rsid w:val="00F366BB"/>
    <w:rsid w:val="00F36CEE"/>
    <w:rsid w:val="00F37034"/>
    <w:rsid w:val="00F3753F"/>
    <w:rsid w:val="00F37568"/>
    <w:rsid w:val="00F37AE9"/>
    <w:rsid w:val="00F37D30"/>
    <w:rsid w:val="00F37F7A"/>
    <w:rsid w:val="00F401DC"/>
    <w:rsid w:val="00F403DE"/>
    <w:rsid w:val="00F40AF3"/>
    <w:rsid w:val="00F40C64"/>
    <w:rsid w:val="00F40E06"/>
    <w:rsid w:val="00F412C9"/>
    <w:rsid w:val="00F414D2"/>
    <w:rsid w:val="00F41501"/>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91"/>
    <w:rsid w:val="00F446AA"/>
    <w:rsid w:val="00F44AB1"/>
    <w:rsid w:val="00F45047"/>
    <w:rsid w:val="00F45723"/>
    <w:rsid w:val="00F461DF"/>
    <w:rsid w:val="00F468BE"/>
    <w:rsid w:val="00F4706C"/>
    <w:rsid w:val="00F472A3"/>
    <w:rsid w:val="00F475F7"/>
    <w:rsid w:val="00F47CD7"/>
    <w:rsid w:val="00F47F5D"/>
    <w:rsid w:val="00F5019A"/>
    <w:rsid w:val="00F50A08"/>
    <w:rsid w:val="00F50AB2"/>
    <w:rsid w:val="00F515D9"/>
    <w:rsid w:val="00F51773"/>
    <w:rsid w:val="00F517CF"/>
    <w:rsid w:val="00F51913"/>
    <w:rsid w:val="00F51CD8"/>
    <w:rsid w:val="00F520C3"/>
    <w:rsid w:val="00F520F9"/>
    <w:rsid w:val="00F52172"/>
    <w:rsid w:val="00F5234D"/>
    <w:rsid w:val="00F52AE9"/>
    <w:rsid w:val="00F532B7"/>
    <w:rsid w:val="00F535F4"/>
    <w:rsid w:val="00F536A5"/>
    <w:rsid w:val="00F53878"/>
    <w:rsid w:val="00F53893"/>
    <w:rsid w:val="00F53DDE"/>
    <w:rsid w:val="00F53E4D"/>
    <w:rsid w:val="00F5487F"/>
    <w:rsid w:val="00F54A2B"/>
    <w:rsid w:val="00F54B3C"/>
    <w:rsid w:val="00F54CCB"/>
    <w:rsid w:val="00F5531B"/>
    <w:rsid w:val="00F5540E"/>
    <w:rsid w:val="00F556FA"/>
    <w:rsid w:val="00F55D91"/>
    <w:rsid w:val="00F55E5E"/>
    <w:rsid w:val="00F569D5"/>
    <w:rsid w:val="00F56C7D"/>
    <w:rsid w:val="00F56DC1"/>
    <w:rsid w:val="00F605C9"/>
    <w:rsid w:val="00F605D8"/>
    <w:rsid w:val="00F609AE"/>
    <w:rsid w:val="00F60AD3"/>
    <w:rsid w:val="00F60C1B"/>
    <w:rsid w:val="00F6138B"/>
    <w:rsid w:val="00F61766"/>
    <w:rsid w:val="00F619BD"/>
    <w:rsid w:val="00F62002"/>
    <w:rsid w:val="00F6216A"/>
    <w:rsid w:val="00F62AD7"/>
    <w:rsid w:val="00F62E41"/>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6E7F"/>
    <w:rsid w:val="00F67706"/>
    <w:rsid w:val="00F67754"/>
    <w:rsid w:val="00F67BB2"/>
    <w:rsid w:val="00F67C21"/>
    <w:rsid w:val="00F67CD2"/>
    <w:rsid w:val="00F67CE3"/>
    <w:rsid w:val="00F702F5"/>
    <w:rsid w:val="00F706E8"/>
    <w:rsid w:val="00F70F03"/>
    <w:rsid w:val="00F711BF"/>
    <w:rsid w:val="00F7129A"/>
    <w:rsid w:val="00F71580"/>
    <w:rsid w:val="00F71598"/>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138"/>
    <w:rsid w:val="00F74AB4"/>
    <w:rsid w:val="00F75215"/>
    <w:rsid w:val="00F7584A"/>
    <w:rsid w:val="00F758C2"/>
    <w:rsid w:val="00F75B44"/>
    <w:rsid w:val="00F76204"/>
    <w:rsid w:val="00F762E2"/>
    <w:rsid w:val="00F77093"/>
    <w:rsid w:val="00F773EE"/>
    <w:rsid w:val="00F7760E"/>
    <w:rsid w:val="00F7765D"/>
    <w:rsid w:val="00F77CD7"/>
    <w:rsid w:val="00F80143"/>
    <w:rsid w:val="00F809FC"/>
    <w:rsid w:val="00F80D1F"/>
    <w:rsid w:val="00F80D9B"/>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0AB"/>
    <w:rsid w:val="00F92168"/>
    <w:rsid w:val="00F9285D"/>
    <w:rsid w:val="00F928A0"/>
    <w:rsid w:val="00F93415"/>
    <w:rsid w:val="00F934D3"/>
    <w:rsid w:val="00F9380E"/>
    <w:rsid w:val="00F9385E"/>
    <w:rsid w:val="00F93BB8"/>
    <w:rsid w:val="00F94414"/>
    <w:rsid w:val="00F949BC"/>
    <w:rsid w:val="00F94C30"/>
    <w:rsid w:val="00F95109"/>
    <w:rsid w:val="00F95483"/>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0DB9"/>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7B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AD7"/>
    <w:rsid w:val="00FD6B41"/>
    <w:rsid w:val="00FD7525"/>
    <w:rsid w:val="00FD79C1"/>
    <w:rsid w:val="00FD7B21"/>
    <w:rsid w:val="00FE0299"/>
    <w:rsid w:val="00FE04A4"/>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2A6"/>
    <w:rsid w:val="00FE437B"/>
    <w:rsid w:val="00FE45D3"/>
    <w:rsid w:val="00FE46A6"/>
    <w:rsid w:val="00FE4AF4"/>
    <w:rsid w:val="00FE4C8B"/>
    <w:rsid w:val="00FE4F50"/>
    <w:rsid w:val="00FE555F"/>
    <w:rsid w:val="00FE5586"/>
    <w:rsid w:val="00FE593F"/>
    <w:rsid w:val="00FE5BFB"/>
    <w:rsid w:val="00FE5C22"/>
    <w:rsid w:val="00FE6315"/>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3D06"/>
    <w:rsid w:val="00FF41AE"/>
    <w:rsid w:val="00FF424C"/>
    <w:rsid w:val="00FF449E"/>
    <w:rsid w:val="00FF487F"/>
    <w:rsid w:val="00FF4EEB"/>
    <w:rsid w:val="00FF5523"/>
    <w:rsid w:val="00FF5557"/>
    <w:rsid w:val="00FF5CE0"/>
    <w:rsid w:val="00FF5EB6"/>
    <w:rsid w:val="00FF62D0"/>
    <w:rsid w:val="00FF638F"/>
    <w:rsid w:val="00FF67F6"/>
    <w:rsid w:val="00FF6E94"/>
    <w:rsid w:val="00FF7226"/>
    <w:rsid w:val="00FF72BF"/>
    <w:rsid w:val="016D53A7"/>
    <w:rsid w:val="0193244A"/>
    <w:rsid w:val="01B66F8B"/>
    <w:rsid w:val="01F1424F"/>
    <w:rsid w:val="025137E6"/>
    <w:rsid w:val="02AC6A55"/>
    <w:rsid w:val="02B42D75"/>
    <w:rsid w:val="033566D6"/>
    <w:rsid w:val="036910BB"/>
    <w:rsid w:val="051648B7"/>
    <w:rsid w:val="05320653"/>
    <w:rsid w:val="057F7E85"/>
    <w:rsid w:val="068B3030"/>
    <w:rsid w:val="07577B15"/>
    <w:rsid w:val="07B37AF7"/>
    <w:rsid w:val="07F35ED3"/>
    <w:rsid w:val="08DA15BF"/>
    <w:rsid w:val="09E56525"/>
    <w:rsid w:val="0A1804DF"/>
    <w:rsid w:val="0AD53B20"/>
    <w:rsid w:val="0BDB79CD"/>
    <w:rsid w:val="0D8542E9"/>
    <w:rsid w:val="0DF7584B"/>
    <w:rsid w:val="0E0A5CA0"/>
    <w:rsid w:val="0E3B73DA"/>
    <w:rsid w:val="0E4F5CAF"/>
    <w:rsid w:val="0E607E88"/>
    <w:rsid w:val="0F344841"/>
    <w:rsid w:val="0FE3233B"/>
    <w:rsid w:val="0FEB7AB3"/>
    <w:rsid w:val="10535C7B"/>
    <w:rsid w:val="10F201A2"/>
    <w:rsid w:val="11391FDC"/>
    <w:rsid w:val="13610782"/>
    <w:rsid w:val="147B08EB"/>
    <w:rsid w:val="14A021FF"/>
    <w:rsid w:val="15090BB6"/>
    <w:rsid w:val="15705BE9"/>
    <w:rsid w:val="15990722"/>
    <w:rsid w:val="16A41F98"/>
    <w:rsid w:val="16A47A1C"/>
    <w:rsid w:val="19616F1D"/>
    <w:rsid w:val="1B374311"/>
    <w:rsid w:val="1C957CF4"/>
    <w:rsid w:val="1C975328"/>
    <w:rsid w:val="1CEF75FB"/>
    <w:rsid w:val="1CFE5045"/>
    <w:rsid w:val="1D3201A6"/>
    <w:rsid w:val="1DF239BE"/>
    <w:rsid w:val="1F284C81"/>
    <w:rsid w:val="1FD86C91"/>
    <w:rsid w:val="20430ADF"/>
    <w:rsid w:val="20B427EC"/>
    <w:rsid w:val="20FA239D"/>
    <w:rsid w:val="20FA63E3"/>
    <w:rsid w:val="210E5B4D"/>
    <w:rsid w:val="218856BA"/>
    <w:rsid w:val="232E3C1B"/>
    <w:rsid w:val="23476302"/>
    <w:rsid w:val="239B211C"/>
    <w:rsid w:val="24067C63"/>
    <w:rsid w:val="24867FFC"/>
    <w:rsid w:val="25316AEF"/>
    <w:rsid w:val="28C05208"/>
    <w:rsid w:val="2A864488"/>
    <w:rsid w:val="2AC23E9E"/>
    <w:rsid w:val="2ADD326D"/>
    <w:rsid w:val="2C775ACC"/>
    <w:rsid w:val="2D2D26B1"/>
    <w:rsid w:val="2DED69AF"/>
    <w:rsid w:val="2E0168C0"/>
    <w:rsid w:val="2F1C3CE0"/>
    <w:rsid w:val="2F4A68BD"/>
    <w:rsid w:val="2FBF2EFF"/>
    <w:rsid w:val="30794D61"/>
    <w:rsid w:val="30AE1D67"/>
    <w:rsid w:val="30D45E75"/>
    <w:rsid w:val="31DB2591"/>
    <w:rsid w:val="32104BE3"/>
    <w:rsid w:val="323B0F39"/>
    <w:rsid w:val="32F96E7E"/>
    <w:rsid w:val="344D55E7"/>
    <w:rsid w:val="352F5465"/>
    <w:rsid w:val="35A74912"/>
    <w:rsid w:val="35BA2F70"/>
    <w:rsid w:val="36642DFC"/>
    <w:rsid w:val="366F5CEA"/>
    <w:rsid w:val="37661FE5"/>
    <w:rsid w:val="37710C6C"/>
    <w:rsid w:val="378579A5"/>
    <w:rsid w:val="381C5793"/>
    <w:rsid w:val="388613F2"/>
    <w:rsid w:val="38E51829"/>
    <w:rsid w:val="3A2E66E8"/>
    <w:rsid w:val="3A6C303F"/>
    <w:rsid w:val="3B0A275B"/>
    <w:rsid w:val="3B155325"/>
    <w:rsid w:val="3CC069B9"/>
    <w:rsid w:val="3D14730D"/>
    <w:rsid w:val="3D1A02F8"/>
    <w:rsid w:val="3DC9733C"/>
    <w:rsid w:val="3EB07A49"/>
    <w:rsid w:val="3F18317E"/>
    <w:rsid w:val="41193413"/>
    <w:rsid w:val="41B527F8"/>
    <w:rsid w:val="42040FCD"/>
    <w:rsid w:val="4297083C"/>
    <w:rsid w:val="42A93A25"/>
    <w:rsid w:val="43A87ADF"/>
    <w:rsid w:val="44246D81"/>
    <w:rsid w:val="44E505BC"/>
    <w:rsid w:val="4543584C"/>
    <w:rsid w:val="455B030A"/>
    <w:rsid w:val="45846D2E"/>
    <w:rsid w:val="45FD4CF3"/>
    <w:rsid w:val="46830F6D"/>
    <w:rsid w:val="479E4A78"/>
    <w:rsid w:val="4807784D"/>
    <w:rsid w:val="48531272"/>
    <w:rsid w:val="48B44D88"/>
    <w:rsid w:val="49EB3890"/>
    <w:rsid w:val="4B1D5CBD"/>
    <w:rsid w:val="4B293897"/>
    <w:rsid w:val="4B562400"/>
    <w:rsid w:val="4BE2238A"/>
    <w:rsid w:val="4C5D37FB"/>
    <w:rsid w:val="4CA142AA"/>
    <w:rsid w:val="4DB80157"/>
    <w:rsid w:val="4DC04A82"/>
    <w:rsid w:val="4EC623A2"/>
    <w:rsid w:val="4ED8348F"/>
    <w:rsid w:val="4EFE5868"/>
    <w:rsid w:val="4F070A88"/>
    <w:rsid w:val="4F2911BA"/>
    <w:rsid w:val="51BB1B8F"/>
    <w:rsid w:val="51D35110"/>
    <w:rsid w:val="51F27DEC"/>
    <w:rsid w:val="533C0956"/>
    <w:rsid w:val="546E13D9"/>
    <w:rsid w:val="56746D53"/>
    <w:rsid w:val="575D2D80"/>
    <w:rsid w:val="57742E0C"/>
    <w:rsid w:val="5AC70B3C"/>
    <w:rsid w:val="5C0F44CB"/>
    <w:rsid w:val="5DA80FCB"/>
    <w:rsid w:val="5E7462A8"/>
    <w:rsid w:val="5EE97B17"/>
    <w:rsid w:val="605F6B95"/>
    <w:rsid w:val="6112113F"/>
    <w:rsid w:val="615D23D5"/>
    <w:rsid w:val="6162573A"/>
    <w:rsid w:val="616356BC"/>
    <w:rsid w:val="619163BB"/>
    <w:rsid w:val="61F01D4B"/>
    <w:rsid w:val="625D39AB"/>
    <w:rsid w:val="638B6EFE"/>
    <w:rsid w:val="64F418E5"/>
    <w:rsid w:val="65C16DB5"/>
    <w:rsid w:val="667B512D"/>
    <w:rsid w:val="6706374E"/>
    <w:rsid w:val="694767D7"/>
    <w:rsid w:val="6A055BBA"/>
    <w:rsid w:val="6A717BF7"/>
    <w:rsid w:val="6B4A576B"/>
    <w:rsid w:val="6B8515B7"/>
    <w:rsid w:val="6C575972"/>
    <w:rsid w:val="6DA24EF9"/>
    <w:rsid w:val="6E801AB8"/>
    <w:rsid w:val="6E877D16"/>
    <w:rsid w:val="6F6249DC"/>
    <w:rsid w:val="70AC543D"/>
    <w:rsid w:val="714F6CEE"/>
    <w:rsid w:val="73086718"/>
    <w:rsid w:val="74CA6BBD"/>
    <w:rsid w:val="778A4FE7"/>
    <w:rsid w:val="78626998"/>
    <w:rsid w:val="790C3ADC"/>
    <w:rsid w:val="793C0B2F"/>
    <w:rsid w:val="7A256940"/>
    <w:rsid w:val="7B0C679D"/>
    <w:rsid w:val="7BFB2B07"/>
    <w:rsid w:val="7CD31209"/>
    <w:rsid w:val="7DA8748F"/>
    <w:rsid w:val="7DEA7E7F"/>
    <w:rsid w:val="7EC853B5"/>
    <w:rsid w:val="7F0E7BEB"/>
    <w:rsid w:val="7F9E299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1"/>
    <w:qFormat/>
    <w:uiPriority w:val="0"/>
    <w:pPr>
      <w:pBdr>
        <w:top w:val="none" w:color="auto" w:sz="0" w:space="0"/>
      </w:pBdr>
      <w:spacing w:before="180"/>
      <w:outlineLvl w:val="1"/>
    </w:pPr>
    <w:rPr>
      <w:i/>
      <w:iCs/>
      <w:kern w:val="0"/>
      <w:sz w:val="28"/>
      <w:szCs w:val="28"/>
    </w:rPr>
  </w:style>
  <w:style w:type="paragraph" w:styleId="4">
    <w:name w:val="heading 3"/>
    <w:basedOn w:val="3"/>
    <w:next w:val="1"/>
    <w:link w:val="62"/>
    <w:qFormat/>
    <w:uiPriority w:val="99"/>
    <w:pPr>
      <w:spacing w:before="120"/>
      <w:outlineLvl w:val="2"/>
    </w:pPr>
    <w:rPr>
      <w:i w:val="0"/>
      <w:iCs w:val="0"/>
      <w:sz w:val="26"/>
      <w:szCs w:val="26"/>
    </w:rPr>
  </w:style>
  <w:style w:type="paragraph" w:styleId="5">
    <w:name w:val="heading 4"/>
    <w:basedOn w:val="4"/>
    <w:next w:val="1"/>
    <w:link w:val="63"/>
    <w:qFormat/>
    <w:uiPriority w:val="99"/>
    <w:pPr>
      <w:ind w:left="1418" w:hanging="1418"/>
      <w:outlineLvl w:val="3"/>
    </w:pPr>
    <w:rPr>
      <w:rFonts w:ascii="Calibri" w:hAnsi="Calibri"/>
      <w:sz w:val="28"/>
      <w:szCs w:val="28"/>
    </w:rPr>
  </w:style>
  <w:style w:type="paragraph" w:styleId="6">
    <w:name w:val="heading 5"/>
    <w:basedOn w:val="5"/>
    <w:next w:val="1"/>
    <w:link w:val="64"/>
    <w:qFormat/>
    <w:uiPriority w:val="99"/>
    <w:pPr>
      <w:ind w:left="1701" w:hanging="1701"/>
      <w:outlineLvl w:val="4"/>
    </w:pPr>
    <w:rPr>
      <w:i/>
      <w:iCs/>
      <w:sz w:val="26"/>
      <w:szCs w:val="26"/>
    </w:rPr>
  </w:style>
  <w:style w:type="paragraph" w:styleId="7">
    <w:name w:val="heading 6"/>
    <w:basedOn w:val="8"/>
    <w:next w:val="1"/>
    <w:link w:val="65"/>
    <w:qFormat/>
    <w:uiPriority w:val="99"/>
    <w:pPr>
      <w:outlineLvl w:val="5"/>
    </w:pPr>
    <w:rPr>
      <w:i w:val="0"/>
      <w:iCs w:val="0"/>
      <w:szCs w:val="20"/>
    </w:rPr>
  </w:style>
  <w:style w:type="paragraph" w:styleId="9">
    <w:name w:val="heading 7"/>
    <w:basedOn w:val="8"/>
    <w:next w:val="1"/>
    <w:link w:val="66"/>
    <w:qFormat/>
    <w:uiPriority w:val="99"/>
    <w:pPr>
      <w:outlineLvl w:val="6"/>
    </w:pPr>
    <w:rPr>
      <w:b w:val="0"/>
      <w:bCs w:val="0"/>
      <w:i w:val="0"/>
      <w:iCs w:val="0"/>
      <w:sz w:val="24"/>
      <w:szCs w:val="24"/>
    </w:rPr>
  </w:style>
  <w:style w:type="paragraph" w:styleId="10">
    <w:name w:val="heading 8"/>
    <w:basedOn w:val="2"/>
    <w:next w:val="1"/>
    <w:link w:val="67"/>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8"/>
    <w:qFormat/>
    <w:uiPriority w:val="99"/>
    <w:p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qFormat/>
    <w:locked/>
    <w:uiPriority w:val="22"/>
    <w:rPr>
      <w:b/>
      <w:bCs/>
    </w:rPr>
  </w:style>
  <w:style w:type="character" w:styleId="55">
    <w:name w:val="page number"/>
    <w:qFormat/>
    <w:uiPriority w:val="99"/>
    <w:rPr>
      <w:rFonts w:cs="Times New Roman"/>
    </w:rPr>
  </w:style>
  <w:style w:type="character" w:styleId="56">
    <w:name w:val="Emphasis"/>
    <w:qFormat/>
    <w:locked/>
    <w:uiPriority w:val="20"/>
    <w:rPr>
      <w:i/>
      <w:iCs/>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1">
    <w:name w:val="标题 2 字符"/>
    <w:link w:val="3"/>
    <w:qFormat/>
    <w:locked/>
    <w:uiPriority w:val="0"/>
    <w:rPr>
      <w:rFonts w:ascii="Cambria" w:hAnsi="Cambria" w:eastAsia="宋体" w:cs="Times New Roman"/>
      <w:b/>
      <w:bCs/>
      <w:i/>
      <w:iCs/>
      <w:sz w:val="28"/>
      <w:szCs w:val="28"/>
      <w:lang w:val="en-GB" w:eastAsia="ja-JP"/>
    </w:rPr>
  </w:style>
  <w:style w:type="character" w:customStyle="1" w:styleId="62">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3">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4">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5">
    <w:name w:val="标题 6 字符"/>
    <w:link w:val="7"/>
    <w:semiHidden/>
    <w:qFormat/>
    <w:locked/>
    <w:uiPriority w:val="99"/>
    <w:rPr>
      <w:rFonts w:ascii="Calibri" w:hAnsi="Calibri" w:eastAsia="宋体" w:cs="Times New Roman"/>
      <w:b/>
      <w:bCs/>
      <w:lang w:val="en-GB" w:eastAsia="ja-JP"/>
    </w:rPr>
  </w:style>
  <w:style w:type="character" w:customStyle="1" w:styleId="66">
    <w:name w:val="标题 7 字符"/>
    <w:link w:val="9"/>
    <w:semiHidden/>
    <w:qFormat/>
    <w:locked/>
    <w:uiPriority w:val="99"/>
    <w:rPr>
      <w:rFonts w:ascii="Calibri" w:hAnsi="Calibri" w:eastAsia="宋体" w:cs="Times New Roman"/>
      <w:sz w:val="24"/>
      <w:szCs w:val="24"/>
      <w:lang w:val="en-GB" w:eastAsia="ja-JP"/>
    </w:rPr>
  </w:style>
  <w:style w:type="character" w:customStyle="1" w:styleId="67">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8">
    <w:name w:val="标题 9 字符"/>
    <w:link w:val="11"/>
    <w:semiHidden/>
    <w:qFormat/>
    <w:locked/>
    <w:uiPriority w:val="99"/>
    <w:rPr>
      <w:rFonts w:ascii="Cambria" w:hAnsi="Cambria" w:eastAsia="宋体" w:cs="Times New Roman"/>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字符"/>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表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semiHidden/>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4"/>
      </w:numPr>
      <w:snapToGrid w:val="0"/>
      <w:spacing w:after="60"/>
      <w:jc w:val="both"/>
    </w:pPr>
    <w:rPr>
      <w:szCs w:val="16"/>
      <w:lang w:val="en-US" w:eastAsia="en-US"/>
    </w:rPr>
  </w:style>
  <w:style w:type="character" w:customStyle="1" w:styleId="147">
    <w:name w:val="标题 字符"/>
    <w:basedOn w:val="53"/>
    <w:link w:val="47"/>
    <w:qFormat/>
    <w:uiPriority w:val="10"/>
    <w:rPr>
      <w:rFonts w:asciiTheme="majorHAnsi" w:hAnsiTheme="majorHAnsi" w:cstheme="majorBidi"/>
      <w:b/>
      <w:bCs/>
      <w:sz w:val="32"/>
      <w:szCs w:val="32"/>
      <w:lang w:val="en-GB" w:eastAsia="ja-JP"/>
    </w:rPr>
  </w:style>
  <w:style w:type="character" w:customStyle="1" w:styleId="148">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3"/>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rPr>
      <w:rFonts w:ascii="Cambria" w:hAnsi="Cambria" w:eastAsia="宋体" w:cs="Times New Roman"/>
      <w:sz w:val="26"/>
      <w:szCs w:val="26"/>
      <w:lang w:val="en-GB" w:eastAsia="ja-JP"/>
    </w:rPr>
  </w:style>
  <w:style w:type="character" w:customStyle="1" w:styleId="154">
    <w:name w:val="apple-converted-space"/>
    <w:basedOn w:val="53"/>
    <w:qFormat/>
    <w:uiPriority w:val="0"/>
  </w:style>
  <w:style w:type="character" w:styleId="155">
    <w:name w:val="Placeholder Text"/>
    <w:basedOn w:val="53"/>
    <w:semiHidden/>
    <w:qFormat/>
    <w:uiPriority w:val="67"/>
    <w:rPr>
      <w:color w:val="808080"/>
    </w:rPr>
  </w:style>
  <w:style w:type="paragraph" w:customStyle="1" w:styleId="156">
    <w:name w:val="목록 단락"/>
    <w:basedOn w:val="1"/>
    <w:qFormat/>
    <w:uiPriority w:val="34"/>
    <w:pPr>
      <w:overflowPunct w:val="0"/>
      <w:autoSpaceDE w:val="0"/>
      <w:autoSpaceDN w:val="0"/>
      <w:adjustRightInd w:val="0"/>
      <w:ind w:left="800" w:leftChars="400"/>
      <w:textAlignment w:val="baseline"/>
    </w:pPr>
    <w:rPr>
      <w:rFonts w:eastAsia="Times New Roman"/>
      <w:lang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8C84DD-1372-40AB-8941-5B8A782BECC6}">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5</Pages>
  <Words>2489</Words>
  <Characters>14189</Characters>
  <Lines>118</Lines>
  <Paragraphs>33</Paragraphs>
  <TotalTime>18</TotalTime>
  <ScaleCrop>false</ScaleCrop>
  <LinksUpToDate>false</LinksUpToDate>
  <CharactersWithSpaces>16645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Word for Windows 6.x &amp; 95+</dc:subject>
  <dc:creator>CMCC</dc:creator>
  <cp:keywords>ESA, style sheet, Winword</cp:keywords>
  <cp:lastModifiedBy>QW</cp:lastModifiedBy>
  <cp:revision>1676</cp:revision>
  <cp:lastPrinted>2021-10-28T08:33:00Z</cp:lastPrinted>
  <dcterms:created xsi:type="dcterms:W3CDTF">2020-10-23T05:12:00Z</dcterms:created>
  <dcterms:modified xsi:type="dcterms:W3CDTF">2022-08-12T06:38:42Z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CBDDF024C32A42FE85B3B80BB60541A6</vt:lpwstr>
  </property>
</Properties>
</file>